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5C8" w:rsidRDefault="001125C8" w:rsidP="00762353">
      <w:pPr>
        <w:spacing w:line="240" w:lineRule="auto"/>
        <w:jc w:val="center"/>
        <w:rPr>
          <w:rFonts w:cs="Arial"/>
          <w:b/>
          <w:szCs w:val="24"/>
        </w:rPr>
      </w:pPr>
    </w:p>
    <w:p w:rsidR="00202D5F" w:rsidRPr="00762353" w:rsidRDefault="00762353" w:rsidP="00762353">
      <w:pPr>
        <w:spacing w:line="240" w:lineRule="auto"/>
        <w:jc w:val="center"/>
        <w:rPr>
          <w:rFonts w:cs="Arial"/>
          <w:b/>
        </w:rPr>
      </w:pPr>
      <w:r w:rsidRPr="00762353">
        <w:rPr>
          <w:rFonts w:cs="Arial"/>
          <w:b/>
          <w:szCs w:val="24"/>
        </w:rPr>
        <w:t>ANÁLISE DE CAPACIDADE DO PROCESSO DE ABSORÇÃO DE ÁGUA POR CARCAÇAS DE FRANGO DURANTE O PRÉ-RESFRIAMENTO</w:t>
      </w:r>
    </w:p>
    <w:p w:rsidR="00FE5874" w:rsidRPr="00FE5874" w:rsidRDefault="00FE5874" w:rsidP="00FE5874">
      <w:pPr>
        <w:spacing w:line="240" w:lineRule="auto"/>
        <w:rPr>
          <w:rFonts w:cs="Arial"/>
        </w:rPr>
      </w:pPr>
    </w:p>
    <w:p w:rsidR="00E43376" w:rsidRPr="00762353" w:rsidRDefault="00762353" w:rsidP="00E43376">
      <w:pPr>
        <w:spacing w:line="240" w:lineRule="auto"/>
        <w:rPr>
          <w:rFonts w:cs="Arial"/>
          <w:b/>
          <w:vertAlign w:val="superscript"/>
        </w:rPr>
      </w:pPr>
      <w:proofErr w:type="spellStart"/>
      <w:r w:rsidRPr="00762353">
        <w:rPr>
          <w:rFonts w:cs="Arial"/>
          <w:b/>
        </w:rPr>
        <w:t>Elidiane</w:t>
      </w:r>
      <w:proofErr w:type="spellEnd"/>
      <w:r w:rsidRPr="00762353">
        <w:rPr>
          <w:rFonts w:cs="Arial"/>
          <w:b/>
        </w:rPr>
        <w:t xml:space="preserve"> Lorenzetti</w:t>
      </w:r>
      <w:r w:rsidRPr="00762353">
        <w:rPr>
          <w:rFonts w:cs="Arial"/>
          <w:b/>
          <w:vertAlign w:val="superscript"/>
        </w:rPr>
        <w:t>1</w:t>
      </w:r>
      <w:r w:rsidR="00DA56F7">
        <w:rPr>
          <w:rFonts w:cs="Arial"/>
          <w:b/>
          <w:vertAlign w:val="superscript"/>
        </w:rPr>
        <w:t>,2</w:t>
      </w:r>
      <w:r w:rsidRPr="00762353">
        <w:rPr>
          <w:rFonts w:cs="Arial"/>
          <w:b/>
        </w:rPr>
        <w:t xml:space="preserve">, Bruna Maria </w:t>
      </w:r>
      <w:proofErr w:type="spellStart"/>
      <w:r w:rsidRPr="00762353">
        <w:rPr>
          <w:rFonts w:cs="Arial"/>
          <w:b/>
        </w:rPr>
        <w:t>Saorin</w:t>
      </w:r>
      <w:proofErr w:type="spellEnd"/>
      <w:r w:rsidRPr="00762353">
        <w:rPr>
          <w:rFonts w:cs="Arial"/>
          <w:b/>
        </w:rPr>
        <w:t xml:space="preserve"> Puton</w:t>
      </w:r>
      <w:r w:rsidRPr="00762353">
        <w:rPr>
          <w:rFonts w:cs="Arial"/>
          <w:b/>
          <w:vertAlign w:val="superscript"/>
        </w:rPr>
        <w:t>1</w:t>
      </w:r>
      <w:r w:rsidRPr="00762353">
        <w:rPr>
          <w:rFonts w:cs="Arial"/>
          <w:b/>
        </w:rPr>
        <w:t xml:space="preserve">, </w:t>
      </w:r>
      <w:proofErr w:type="spellStart"/>
      <w:r w:rsidR="00894995">
        <w:rPr>
          <w:rFonts w:cs="Arial"/>
          <w:b/>
        </w:rPr>
        <w:t>Geciane</w:t>
      </w:r>
      <w:proofErr w:type="spellEnd"/>
      <w:r w:rsidR="00894995">
        <w:rPr>
          <w:rFonts w:cs="Arial"/>
          <w:b/>
        </w:rPr>
        <w:t xml:space="preserve"> Toniazzo</w:t>
      </w:r>
      <w:r w:rsidR="00894995">
        <w:rPr>
          <w:rFonts w:cs="Arial"/>
          <w:b/>
          <w:vertAlign w:val="superscript"/>
        </w:rPr>
        <w:t>1</w:t>
      </w:r>
      <w:r w:rsidR="00894995">
        <w:rPr>
          <w:rFonts w:cs="Arial"/>
          <w:b/>
        </w:rPr>
        <w:t xml:space="preserve">, </w:t>
      </w:r>
      <w:r w:rsidRPr="00762353">
        <w:rPr>
          <w:rFonts w:cs="Arial"/>
          <w:b/>
        </w:rPr>
        <w:t>Eunice Valduga</w:t>
      </w:r>
      <w:r w:rsidRPr="00762353">
        <w:rPr>
          <w:rFonts w:cs="Arial"/>
          <w:b/>
          <w:vertAlign w:val="superscript"/>
        </w:rPr>
        <w:t>1</w:t>
      </w:r>
      <w:r w:rsidRPr="00762353">
        <w:rPr>
          <w:rFonts w:cs="Arial"/>
          <w:b/>
        </w:rPr>
        <w:t xml:space="preserve">, Rogério </w:t>
      </w:r>
      <w:proofErr w:type="spellStart"/>
      <w:r w:rsidRPr="00762353">
        <w:rPr>
          <w:rFonts w:cs="Arial"/>
          <w:b/>
        </w:rPr>
        <w:t>Luis</w:t>
      </w:r>
      <w:proofErr w:type="spellEnd"/>
      <w:r w:rsidRPr="00762353">
        <w:rPr>
          <w:rFonts w:cs="Arial"/>
          <w:b/>
        </w:rPr>
        <w:t xml:space="preserve"> Cansian</w:t>
      </w:r>
      <w:r w:rsidRPr="00762353">
        <w:rPr>
          <w:rFonts w:cs="Arial"/>
          <w:b/>
          <w:vertAlign w:val="superscript"/>
        </w:rPr>
        <w:t>1</w:t>
      </w:r>
    </w:p>
    <w:p w:rsidR="00762353" w:rsidRDefault="00762353" w:rsidP="00E43376">
      <w:pPr>
        <w:spacing w:line="240" w:lineRule="auto"/>
        <w:rPr>
          <w:rFonts w:cs="Arial"/>
        </w:rPr>
      </w:pPr>
    </w:p>
    <w:p w:rsidR="00762353" w:rsidRDefault="00DA56F7" w:rsidP="00D7316D">
      <w:pPr>
        <w:spacing w:after="60" w:line="240" w:lineRule="auto"/>
        <w:rPr>
          <w:rFonts w:cs="Arial"/>
        </w:rPr>
      </w:pPr>
      <w:r>
        <w:rPr>
          <w:rFonts w:cs="Arial"/>
          <w:vertAlign w:val="superscript"/>
        </w:rPr>
        <w:t>1</w:t>
      </w:r>
      <w:r w:rsidR="00762353">
        <w:rPr>
          <w:rFonts w:cs="Arial"/>
        </w:rPr>
        <w:t xml:space="preserve">Programa de </w:t>
      </w:r>
      <w:proofErr w:type="gramStart"/>
      <w:r w:rsidR="00762353">
        <w:rPr>
          <w:rFonts w:cs="Arial"/>
        </w:rPr>
        <w:t>Pós Graduação</w:t>
      </w:r>
      <w:proofErr w:type="gramEnd"/>
      <w:r w:rsidR="00762353">
        <w:rPr>
          <w:rFonts w:cs="Arial"/>
        </w:rPr>
        <w:t xml:space="preserve"> em Engenharia de Alimentos - Departamento de Ciências Agrárias - Universidade Regional Integrada do Alto Uruguai e das Missões - Av. sete de setembro, 1621, Erechim-RS </w:t>
      </w:r>
      <w:r>
        <w:rPr>
          <w:rFonts w:cs="Arial"/>
        </w:rPr>
        <w:t xml:space="preserve">- </w:t>
      </w:r>
      <w:r w:rsidR="00762353">
        <w:rPr>
          <w:rFonts w:cs="Arial"/>
        </w:rPr>
        <w:t>99709-910.</w:t>
      </w:r>
    </w:p>
    <w:p w:rsidR="00762353" w:rsidRDefault="00DA56F7" w:rsidP="00DA56F7">
      <w:pPr>
        <w:spacing w:line="240" w:lineRule="auto"/>
        <w:rPr>
          <w:rFonts w:cs="Arial"/>
          <w:szCs w:val="24"/>
        </w:rPr>
      </w:pPr>
      <w:r w:rsidRPr="00DA56F7">
        <w:rPr>
          <w:rFonts w:cs="Arial"/>
          <w:szCs w:val="24"/>
          <w:vertAlign w:val="superscript"/>
        </w:rPr>
        <w:t>2</w:t>
      </w:r>
      <w:r w:rsidRPr="00DA56F7">
        <w:rPr>
          <w:rFonts w:cs="Arial"/>
          <w:szCs w:val="24"/>
        </w:rPr>
        <w:t xml:space="preserve">BRF - Brasil </w:t>
      </w:r>
      <w:proofErr w:type="spellStart"/>
      <w:r w:rsidRPr="00DA56F7">
        <w:rPr>
          <w:rFonts w:cs="Arial"/>
          <w:szCs w:val="24"/>
        </w:rPr>
        <w:t>Foods</w:t>
      </w:r>
      <w:proofErr w:type="spellEnd"/>
      <w:r w:rsidRPr="00DA56F7">
        <w:rPr>
          <w:rFonts w:cs="Arial"/>
          <w:szCs w:val="24"/>
        </w:rPr>
        <w:t xml:space="preserve"> </w:t>
      </w:r>
      <w:r>
        <w:rPr>
          <w:rFonts w:cs="Arial"/>
          <w:szCs w:val="24"/>
        </w:rPr>
        <w:t xml:space="preserve">S.A. - </w:t>
      </w:r>
      <w:r w:rsidRPr="00DA56F7">
        <w:rPr>
          <w:rFonts w:cs="Arial"/>
          <w:szCs w:val="24"/>
        </w:rPr>
        <w:t>Rua Senador Atílio Fontana, 2323</w:t>
      </w:r>
      <w:r>
        <w:rPr>
          <w:rFonts w:cs="Arial"/>
          <w:szCs w:val="24"/>
        </w:rPr>
        <w:t xml:space="preserve">, </w:t>
      </w:r>
      <w:r w:rsidRPr="00DA56F7">
        <w:rPr>
          <w:rFonts w:cs="Arial"/>
          <w:szCs w:val="24"/>
        </w:rPr>
        <w:t>Parque Industrial</w:t>
      </w:r>
      <w:r>
        <w:rPr>
          <w:rFonts w:cs="Arial"/>
          <w:szCs w:val="24"/>
        </w:rPr>
        <w:t xml:space="preserve"> -</w:t>
      </w:r>
      <w:r w:rsidRPr="00DA56F7">
        <w:rPr>
          <w:rFonts w:cs="Arial"/>
          <w:szCs w:val="24"/>
        </w:rPr>
        <w:t xml:space="preserve"> </w:t>
      </w:r>
      <w:r>
        <w:rPr>
          <w:rFonts w:cs="Arial"/>
          <w:szCs w:val="24"/>
        </w:rPr>
        <w:t>Dois Vizinhos-</w:t>
      </w:r>
      <w:r w:rsidRPr="00DA56F7">
        <w:rPr>
          <w:rFonts w:cs="Arial"/>
          <w:szCs w:val="24"/>
        </w:rPr>
        <w:t xml:space="preserve">PR </w:t>
      </w:r>
      <w:r>
        <w:rPr>
          <w:rFonts w:cs="Arial"/>
          <w:szCs w:val="24"/>
        </w:rPr>
        <w:t xml:space="preserve">- </w:t>
      </w:r>
      <w:r w:rsidRPr="00DA56F7">
        <w:rPr>
          <w:rFonts w:cs="Arial"/>
          <w:szCs w:val="24"/>
        </w:rPr>
        <w:t>85660</w:t>
      </w:r>
      <w:r>
        <w:rPr>
          <w:rFonts w:cs="Arial"/>
          <w:szCs w:val="24"/>
        </w:rPr>
        <w:t>-</w:t>
      </w:r>
      <w:r w:rsidRPr="00DA56F7">
        <w:rPr>
          <w:rFonts w:cs="Arial"/>
          <w:szCs w:val="24"/>
        </w:rPr>
        <w:t>000</w:t>
      </w:r>
      <w:r>
        <w:rPr>
          <w:rFonts w:cs="Arial"/>
          <w:szCs w:val="24"/>
        </w:rPr>
        <w:t>.</w:t>
      </w:r>
    </w:p>
    <w:p w:rsidR="00DA56F7" w:rsidRPr="00DA56F7" w:rsidRDefault="00DA56F7" w:rsidP="00DA56F7">
      <w:pPr>
        <w:spacing w:line="240" w:lineRule="auto"/>
        <w:rPr>
          <w:rFonts w:cs="Arial"/>
          <w:szCs w:val="24"/>
        </w:rPr>
      </w:pPr>
    </w:p>
    <w:p w:rsidR="00762353" w:rsidRPr="00DA56F7" w:rsidRDefault="00762353" w:rsidP="00E43376">
      <w:pPr>
        <w:spacing w:line="240" w:lineRule="auto"/>
        <w:rPr>
          <w:rFonts w:cs="Arial"/>
          <w:b/>
          <w:szCs w:val="24"/>
        </w:rPr>
      </w:pPr>
      <w:r w:rsidRPr="00DA56F7">
        <w:rPr>
          <w:rFonts w:cs="Arial"/>
          <w:b/>
          <w:szCs w:val="24"/>
        </w:rPr>
        <w:t xml:space="preserve">Resumo </w:t>
      </w:r>
    </w:p>
    <w:p w:rsidR="00762353" w:rsidRPr="00DA56F7" w:rsidRDefault="00DA56F7" w:rsidP="000A14C3">
      <w:pPr>
        <w:spacing w:after="120" w:line="240" w:lineRule="auto"/>
        <w:rPr>
          <w:rFonts w:cs="Arial"/>
          <w:szCs w:val="24"/>
        </w:rPr>
      </w:pPr>
      <w:r w:rsidRPr="00872E47">
        <w:rPr>
          <w:rFonts w:cs="Arial"/>
          <w:szCs w:val="24"/>
        </w:rPr>
        <w:t xml:space="preserve">O processo de resfriamento de carcaças por imersão em água </w:t>
      </w:r>
      <w:r w:rsidRPr="00872E47">
        <w:rPr>
          <w:rFonts w:cs="Arial"/>
          <w:i/>
          <w:szCs w:val="24"/>
        </w:rPr>
        <w:t>(</w:t>
      </w:r>
      <w:proofErr w:type="spellStart"/>
      <w:r w:rsidRPr="00872E47">
        <w:rPr>
          <w:rFonts w:cs="Arial"/>
          <w:i/>
          <w:szCs w:val="24"/>
        </w:rPr>
        <w:t>chillers</w:t>
      </w:r>
      <w:proofErr w:type="spellEnd"/>
      <w:r w:rsidRPr="00872E47">
        <w:rPr>
          <w:rFonts w:cs="Arial"/>
          <w:i/>
          <w:szCs w:val="24"/>
        </w:rPr>
        <w:t>)</w:t>
      </w:r>
      <w:r w:rsidRPr="00872E47">
        <w:rPr>
          <w:rFonts w:cs="Arial"/>
          <w:szCs w:val="24"/>
        </w:rPr>
        <w:t xml:space="preserve"> é o processo mais utilizado na indústria de aves. Nesta etapa, além da redução da temperatura, ocorre a absorção de água nas carcaças e</w:t>
      </w:r>
      <w:r>
        <w:rPr>
          <w:rFonts w:cs="Arial"/>
          <w:szCs w:val="24"/>
        </w:rPr>
        <w:t>,</w:t>
      </w:r>
      <w:r w:rsidRPr="00872E47">
        <w:rPr>
          <w:rFonts w:cs="Arial"/>
          <w:szCs w:val="24"/>
        </w:rPr>
        <w:t xml:space="preserve"> consequentemente</w:t>
      </w:r>
      <w:r>
        <w:rPr>
          <w:rFonts w:cs="Arial"/>
          <w:szCs w:val="24"/>
        </w:rPr>
        <w:t>,</w:t>
      </w:r>
      <w:r w:rsidRPr="00872E47">
        <w:rPr>
          <w:rFonts w:cs="Arial"/>
          <w:szCs w:val="24"/>
        </w:rPr>
        <w:t xml:space="preserve"> nos cortes de frango, sendo monitoradas pelas empresas e fiscalizadas pelo Ministério da Agricultura, Pecuária e Abastecimento (MAPA), que estabelece um limite para o percentual de água absorvida. O objetivo deste trabalho foi </w:t>
      </w:r>
      <w:r>
        <w:rPr>
          <w:rFonts w:cs="Arial"/>
          <w:szCs w:val="24"/>
        </w:rPr>
        <w:t>analisar estatisticamente</w:t>
      </w:r>
      <w:r w:rsidRPr="00DA56F7">
        <w:rPr>
          <w:rFonts w:cs="Arial"/>
          <w:szCs w:val="24"/>
        </w:rPr>
        <w:t xml:space="preserve"> </w:t>
      </w:r>
      <w:r>
        <w:rPr>
          <w:rFonts w:cs="Arial"/>
          <w:szCs w:val="24"/>
        </w:rPr>
        <w:t>a</w:t>
      </w:r>
      <w:r w:rsidRPr="00DA56F7">
        <w:rPr>
          <w:rFonts w:cs="Arial"/>
          <w:szCs w:val="24"/>
        </w:rPr>
        <w:t xml:space="preserve"> capacidade do processo de absorção de água por carcaças de frango durante o </w:t>
      </w:r>
      <w:proofErr w:type="spellStart"/>
      <w:r w:rsidRPr="00DA56F7">
        <w:rPr>
          <w:rFonts w:cs="Arial"/>
          <w:szCs w:val="24"/>
        </w:rPr>
        <w:t>pré</w:t>
      </w:r>
      <w:proofErr w:type="spellEnd"/>
      <w:r w:rsidRPr="00DA56F7">
        <w:rPr>
          <w:rFonts w:cs="Arial"/>
          <w:szCs w:val="24"/>
        </w:rPr>
        <w:t>-resfriamento</w:t>
      </w:r>
      <w:r>
        <w:rPr>
          <w:rFonts w:cs="Arial"/>
          <w:szCs w:val="24"/>
        </w:rPr>
        <w:t>, a partir dos índices de absorção obtidos em escala industrial, pela análise de 720 carcaças.</w:t>
      </w:r>
      <w:r w:rsidR="00DF1A57">
        <w:rPr>
          <w:rFonts w:cs="Arial"/>
          <w:szCs w:val="24"/>
        </w:rPr>
        <w:t xml:space="preserve"> </w:t>
      </w:r>
      <w:r w:rsidRPr="00872E47">
        <w:rPr>
          <w:rFonts w:cs="Arial"/>
          <w:szCs w:val="24"/>
        </w:rPr>
        <w:t>Na análise de capacidade inicial do processo observou-se que o mesmo está descentraliza</w:t>
      </w:r>
      <w:bookmarkStart w:id="0" w:name="_GoBack"/>
      <w:bookmarkEnd w:id="0"/>
      <w:r w:rsidRPr="00872E47">
        <w:rPr>
          <w:rFonts w:cs="Arial"/>
          <w:szCs w:val="24"/>
        </w:rPr>
        <w:t>do e pode ser considerado incapaz (</w:t>
      </w:r>
      <w:proofErr w:type="spellStart"/>
      <w:r w:rsidRPr="00872E47">
        <w:rPr>
          <w:rFonts w:cs="Arial"/>
          <w:szCs w:val="24"/>
        </w:rPr>
        <w:t>C</w:t>
      </w:r>
      <w:r w:rsidRPr="00872E47">
        <w:rPr>
          <w:rFonts w:cs="Arial"/>
          <w:i/>
          <w:szCs w:val="24"/>
        </w:rPr>
        <w:t>pk</w:t>
      </w:r>
      <w:proofErr w:type="spellEnd"/>
      <w:r w:rsidRPr="00872E47">
        <w:rPr>
          <w:rFonts w:cs="Arial"/>
          <w:szCs w:val="24"/>
        </w:rPr>
        <w:t xml:space="preserve"> menor que 1 (0,26)). Porém verificou-se que o percentual de absorção atende o limite máximo permitido de 8%, uma vez que</w:t>
      </w:r>
      <w:r>
        <w:rPr>
          <w:rFonts w:cs="Arial"/>
          <w:szCs w:val="24"/>
        </w:rPr>
        <w:t>,</w:t>
      </w:r>
      <w:r w:rsidRPr="00872E47">
        <w:rPr>
          <w:rFonts w:cs="Arial"/>
          <w:szCs w:val="24"/>
        </w:rPr>
        <w:t xml:space="preserve"> </w:t>
      </w:r>
      <w:r>
        <w:rPr>
          <w:rFonts w:cs="Arial"/>
          <w:szCs w:val="24"/>
        </w:rPr>
        <w:t xml:space="preserve">de acordo com a legislação, </w:t>
      </w:r>
      <w:r w:rsidRPr="00872E47">
        <w:rPr>
          <w:rFonts w:cs="Arial"/>
          <w:szCs w:val="24"/>
        </w:rPr>
        <w:t>são considerados os valores médios de absorção.</w:t>
      </w:r>
    </w:p>
    <w:p w:rsidR="00DA56F7" w:rsidRDefault="00DA56F7" w:rsidP="00DA56F7">
      <w:pPr>
        <w:spacing w:line="240" w:lineRule="auto"/>
        <w:rPr>
          <w:rFonts w:cs="Arial"/>
          <w:szCs w:val="24"/>
        </w:rPr>
      </w:pPr>
      <w:r w:rsidRPr="00DA56F7">
        <w:rPr>
          <w:b/>
        </w:rPr>
        <w:t>Palavras-chave</w:t>
      </w:r>
      <w:r>
        <w:t xml:space="preserve">: </w:t>
      </w:r>
      <w:proofErr w:type="spellStart"/>
      <w:r w:rsidRPr="00872E47">
        <w:rPr>
          <w:rFonts w:cs="Arial"/>
          <w:szCs w:val="24"/>
        </w:rPr>
        <w:t>Pré</w:t>
      </w:r>
      <w:proofErr w:type="spellEnd"/>
      <w:r w:rsidRPr="00872E47">
        <w:rPr>
          <w:rFonts w:cs="Arial"/>
          <w:szCs w:val="24"/>
        </w:rPr>
        <w:t>-resfriamento, carcaças</w:t>
      </w:r>
      <w:r>
        <w:rPr>
          <w:rFonts w:cs="Arial"/>
          <w:szCs w:val="24"/>
        </w:rPr>
        <w:t xml:space="preserve"> </w:t>
      </w:r>
      <w:r w:rsidRPr="00872E47">
        <w:rPr>
          <w:rFonts w:cs="Arial"/>
          <w:szCs w:val="24"/>
        </w:rPr>
        <w:t xml:space="preserve">de frango, absorção de água, </w:t>
      </w:r>
      <w:proofErr w:type="spellStart"/>
      <w:r w:rsidRPr="00941E18">
        <w:rPr>
          <w:rFonts w:cs="Arial"/>
          <w:i/>
          <w:szCs w:val="24"/>
        </w:rPr>
        <w:t>chiller</w:t>
      </w:r>
      <w:proofErr w:type="spellEnd"/>
      <w:r w:rsidRPr="00872E47">
        <w:rPr>
          <w:rFonts w:cs="Arial"/>
          <w:szCs w:val="24"/>
        </w:rPr>
        <w:t>.</w:t>
      </w:r>
    </w:p>
    <w:p w:rsidR="00DA56F7" w:rsidRDefault="00DA56F7" w:rsidP="00E43376">
      <w:pPr>
        <w:spacing w:line="240" w:lineRule="auto"/>
      </w:pPr>
    </w:p>
    <w:p w:rsidR="00E43376" w:rsidRDefault="00CA3B43" w:rsidP="00E43376">
      <w:pPr>
        <w:spacing w:line="240" w:lineRule="auto"/>
        <w:rPr>
          <w:rFonts w:cs="Arial"/>
          <w:b/>
        </w:rPr>
      </w:pPr>
      <w:r w:rsidRPr="00CA3B43">
        <w:rPr>
          <w:rFonts w:cs="Arial"/>
          <w:b/>
        </w:rPr>
        <w:t>Introdução</w:t>
      </w:r>
    </w:p>
    <w:p w:rsidR="00223821" w:rsidRDefault="00BD6F67" w:rsidP="00223821">
      <w:pPr>
        <w:spacing w:line="240" w:lineRule="auto"/>
        <w:rPr>
          <w:rFonts w:cs="Arial"/>
          <w:szCs w:val="24"/>
        </w:rPr>
      </w:pPr>
      <w:r>
        <w:rPr>
          <w:rFonts w:cs="Arial"/>
          <w:szCs w:val="24"/>
        </w:rPr>
        <w:tab/>
      </w:r>
      <w:r w:rsidR="00223821" w:rsidRPr="00223821">
        <w:rPr>
          <w:rFonts w:cs="Arial"/>
          <w:szCs w:val="24"/>
        </w:rPr>
        <w:t xml:space="preserve">Dentre as operações envolvidas no processamento da carne de frango, o resfriamento é considerado uma das etapas mais importantes, pois a redução da temperatura, além de conter o crescimento microbiano, influencia os principais indicadores de qualidade da carne, tais como: sabor, aparência </w:t>
      </w:r>
      <w:r w:rsidR="00795853">
        <w:rPr>
          <w:rFonts w:cs="Arial"/>
          <w:szCs w:val="24"/>
        </w:rPr>
        <w:t xml:space="preserve">e textura (SAVELL et al., 2005), sendo </w:t>
      </w:r>
      <w:r w:rsidR="00223821" w:rsidRPr="00223821">
        <w:rPr>
          <w:rFonts w:cs="Arial"/>
          <w:szCs w:val="24"/>
        </w:rPr>
        <w:t>uma exigência de legislações nacionais e internacionais (CARCIOFI e LAURINDO, 2010).</w:t>
      </w:r>
    </w:p>
    <w:p w:rsidR="00BD6F67" w:rsidRDefault="00223821" w:rsidP="0091269C">
      <w:pPr>
        <w:spacing w:line="240" w:lineRule="auto"/>
        <w:rPr>
          <w:rFonts w:cs="Arial"/>
          <w:szCs w:val="24"/>
        </w:rPr>
      </w:pPr>
      <w:r>
        <w:rPr>
          <w:rFonts w:cs="Arial"/>
          <w:szCs w:val="24"/>
        </w:rPr>
        <w:tab/>
      </w:r>
      <w:r w:rsidR="00BD6F67" w:rsidRPr="000A0D18">
        <w:rPr>
          <w:rFonts w:cs="Arial"/>
          <w:szCs w:val="24"/>
        </w:rPr>
        <w:t>O resfriamento por imersão em água é um método comumente utilizado para remoção rápida do calor dos alimentos (LUCAS e RAOULT-WACK, 1998). Esta operação é realizada em tanques semicilíndricos</w:t>
      </w:r>
      <w:r w:rsidR="00BD6F67">
        <w:rPr>
          <w:rFonts w:cs="Arial"/>
          <w:szCs w:val="24"/>
        </w:rPr>
        <w:t xml:space="preserve"> </w:t>
      </w:r>
      <w:r w:rsidR="00BD6F67" w:rsidRPr="000A0D18">
        <w:rPr>
          <w:rFonts w:cs="Arial"/>
          <w:i/>
          <w:szCs w:val="24"/>
        </w:rPr>
        <w:t>(</w:t>
      </w:r>
      <w:proofErr w:type="spellStart"/>
      <w:r w:rsidR="00BD6F67" w:rsidRPr="000A0D18">
        <w:rPr>
          <w:rFonts w:cs="Arial"/>
          <w:i/>
          <w:szCs w:val="24"/>
        </w:rPr>
        <w:t>chillers</w:t>
      </w:r>
      <w:proofErr w:type="spellEnd"/>
      <w:r w:rsidR="00BD6F67" w:rsidRPr="000A0D18">
        <w:rPr>
          <w:rFonts w:cs="Arial"/>
          <w:i/>
          <w:szCs w:val="24"/>
        </w:rPr>
        <w:t>)</w:t>
      </w:r>
      <w:r w:rsidR="00BD6F67" w:rsidRPr="000A0D18">
        <w:rPr>
          <w:rFonts w:cs="Arial"/>
          <w:szCs w:val="24"/>
        </w:rPr>
        <w:t xml:space="preserve">, dotados de um </w:t>
      </w:r>
      <w:proofErr w:type="spellStart"/>
      <w:r w:rsidR="00BD6F67" w:rsidRPr="000A0D18">
        <w:rPr>
          <w:rFonts w:cs="Arial"/>
          <w:szCs w:val="24"/>
        </w:rPr>
        <w:t>helicóide</w:t>
      </w:r>
      <w:proofErr w:type="spellEnd"/>
      <w:r w:rsidR="00BD6F67" w:rsidRPr="000A0D18">
        <w:rPr>
          <w:rFonts w:cs="Arial"/>
          <w:szCs w:val="24"/>
        </w:rPr>
        <w:t xml:space="preserve"> interno que se move lentamente, promovendo o deslocamento das carcaças. As carcaças de frango são mergulhadas e transportadas em uma mistura de água e gelo, sendo resfriadas desde aproximadamente 40ºC até 4ºC (medido no centro do músculo pei</w:t>
      </w:r>
      <w:r w:rsidR="00D7316D">
        <w:rPr>
          <w:rFonts w:cs="Arial"/>
          <w:szCs w:val="24"/>
        </w:rPr>
        <w:t xml:space="preserve">toral) na saída do equipamento </w:t>
      </w:r>
      <w:r w:rsidR="00BD6F67" w:rsidRPr="000A0D18">
        <w:rPr>
          <w:rFonts w:cs="Arial"/>
          <w:szCs w:val="24"/>
        </w:rPr>
        <w:t>(CARCIOFI e LAURINDO, 2007; CARCIOFI e LAURINDO, 2010).</w:t>
      </w:r>
      <w:r w:rsidR="00BD6F67">
        <w:rPr>
          <w:rFonts w:cs="Arial"/>
          <w:szCs w:val="24"/>
        </w:rPr>
        <w:t xml:space="preserve"> </w:t>
      </w:r>
    </w:p>
    <w:p w:rsidR="00223821" w:rsidRDefault="00BD6F67" w:rsidP="0091269C">
      <w:pPr>
        <w:spacing w:line="240" w:lineRule="auto"/>
        <w:rPr>
          <w:rFonts w:cs="Arial"/>
          <w:szCs w:val="24"/>
        </w:rPr>
      </w:pPr>
      <w:r>
        <w:rPr>
          <w:rFonts w:cs="Arial"/>
          <w:szCs w:val="24"/>
        </w:rPr>
        <w:tab/>
      </w:r>
      <w:r w:rsidR="00223821" w:rsidRPr="00223821">
        <w:rPr>
          <w:rFonts w:cs="Arial"/>
          <w:szCs w:val="24"/>
        </w:rPr>
        <w:t xml:space="preserve">A etapa de </w:t>
      </w:r>
      <w:proofErr w:type="spellStart"/>
      <w:r w:rsidR="00223821" w:rsidRPr="00223821">
        <w:rPr>
          <w:rFonts w:cs="Arial"/>
          <w:szCs w:val="24"/>
        </w:rPr>
        <w:t>pré</w:t>
      </w:r>
      <w:proofErr w:type="spellEnd"/>
      <w:r w:rsidR="00223821" w:rsidRPr="00223821">
        <w:rPr>
          <w:rFonts w:cs="Arial"/>
          <w:szCs w:val="24"/>
        </w:rPr>
        <w:t xml:space="preserve">-resfriamento é muito importante para a conservação, pois a redução da temperatura das carcaças é essencial para o controle do crescimento de </w:t>
      </w:r>
      <w:proofErr w:type="gramStart"/>
      <w:r w:rsidR="00223821" w:rsidRPr="00223821">
        <w:rPr>
          <w:rFonts w:cs="Arial"/>
          <w:szCs w:val="24"/>
        </w:rPr>
        <w:t>micro- organismos</w:t>
      </w:r>
      <w:proofErr w:type="gramEnd"/>
      <w:r w:rsidR="00223821" w:rsidRPr="00223821">
        <w:rPr>
          <w:rFonts w:cs="Arial"/>
          <w:szCs w:val="24"/>
        </w:rPr>
        <w:t xml:space="preserve"> e assim prolongar a vida de prateleira do produto. É também durante essa etapa que ocorre a absorção de água pelas carcaças de frango.</w:t>
      </w:r>
    </w:p>
    <w:p w:rsidR="00223821" w:rsidRDefault="00223821" w:rsidP="0091269C">
      <w:pPr>
        <w:spacing w:line="240" w:lineRule="auto"/>
        <w:rPr>
          <w:rFonts w:cs="Arial"/>
          <w:szCs w:val="24"/>
        </w:rPr>
      </w:pPr>
      <w:r>
        <w:rPr>
          <w:rFonts w:cs="Arial"/>
          <w:szCs w:val="24"/>
        </w:rPr>
        <w:tab/>
      </w:r>
      <w:r w:rsidRPr="00223821">
        <w:rPr>
          <w:rFonts w:cs="Arial"/>
          <w:szCs w:val="24"/>
        </w:rPr>
        <w:t xml:space="preserve">O controle do índice de absorção de água é realizado através de dois métodos oficiais: o Método de Controle Interno que é realizado em nível de processamento </w:t>
      </w:r>
      <w:r w:rsidRPr="00223821">
        <w:rPr>
          <w:rFonts w:cs="Arial"/>
          <w:szCs w:val="24"/>
        </w:rPr>
        <w:lastRenderedPageBreak/>
        <w:t xml:space="preserve">industrial e trata da água absorvida durante o </w:t>
      </w:r>
      <w:proofErr w:type="spellStart"/>
      <w:r w:rsidRPr="00223821">
        <w:rPr>
          <w:rFonts w:cs="Arial"/>
          <w:szCs w:val="24"/>
        </w:rPr>
        <w:t>pré</w:t>
      </w:r>
      <w:proofErr w:type="spellEnd"/>
      <w:r w:rsidRPr="00223821">
        <w:rPr>
          <w:rFonts w:cs="Arial"/>
          <w:szCs w:val="24"/>
        </w:rPr>
        <w:t>-resfriamento por imersão; e o Método do Gotejamento (</w:t>
      </w:r>
      <w:proofErr w:type="spellStart"/>
      <w:r w:rsidRPr="00223821">
        <w:rPr>
          <w:rFonts w:cs="Arial"/>
          <w:szCs w:val="24"/>
        </w:rPr>
        <w:t>Dripping</w:t>
      </w:r>
      <w:proofErr w:type="spellEnd"/>
      <w:r w:rsidRPr="00223821">
        <w:rPr>
          <w:rFonts w:cs="Arial"/>
          <w:szCs w:val="24"/>
        </w:rPr>
        <w:t xml:space="preserve"> Test) que quantifica a água proveniente do descongelamento de carcaças congeladas. O resultado é expresso em percentagem do peso total da carcaça, sendo os limites máximos de 8% e 6%, respectivamente (BRASIL, 1998; BRASIL, 1999).</w:t>
      </w:r>
    </w:p>
    <w:p w:rsidR="0091269C" w:rsidRDefault="00223821" w:rsidP="0091269C">
      <w:pPr>
        <w:spacing w:line="240" w:lineRule="auto"/>
        <w:rPr>
          <w:rFonts w:cs="Arial"/>
          <w:szCs w:val="24"/>
          <w:lang w:eastAsia="pt-BR"/>
        </w:rPr>
      </w:pPr>
      <w:r>
        <w:rPr>
          <w:rFonts w:cs="Arial"/>
          <w:szCs w:val="24"/>
          <w:lang w:eastAsia="pt-BR"/>
        </w:rPr>
        <w:tab/>
      </w:r>
      <w:r w:rsidR="0091269C" w:rsidRPr="0091269C">
        <w:rPr>
          <w:rFonts w:cs="Arial"/>
          <w:szCs w:val="24"/>
          <w:lang w:eastAsia="pt-BR"/>
        </w:rPr>
        <w:t xml:space="preserve">Muitos fatores afetam a absorção de água pelas carcaças, e os mais importantes são a temperatura da água, o tempo que as carcaças permanecem no </w:t>
      </w:r>
      <w:proofErr w:type="spellStart"/>
      <w:r w:rsidR="0091269C" w:rsidRPr="0091269C">
        <w:rPr>
          <w:rFonts w:cs="Arial"/>
          <w:szCs w:val="24"/>
          <w:lang w:eastAsia="pt-BR"/>
        </w:rPr>
        <w:t>chiller</w:t>
      </w:r>
      <w:proofErr w:type="spellEnd"/>
      <w:r w:rsidR="0091269C" w:rsidRPr="0091269C">
        <w:rPr>
          <w:rFonts w:cs="Arial"/>
          <w:szCs w:val="24"/>
          <w:lang w:eastAsia="pt-BR"/>
        </w:rPr>
        <w:t>, a proporção de água e gelo no tanque, a agitação (</w:t>
      </w:r>
      <w:proofErr w:type="spellStart"/>
      <w:r w:rsidR="0091269C" w:rsidRPr="0091269C">
        <w:rPr>
          <w:rFonts w:cs="Arial"/>
          <w:szCs w:val="24"/>
          <w:lang w:eastAsia="pt-BR"/>
        </w:rPr>
        <w:t>borbulhamento</w:t>
      </w:r>
      <w:proofErr w:type="spellEnd"/>
      <w:r w:rsidR="0091269C" w:rsidRPr="0091269C">
        <w:rPr>
          <w:rFonts w:cs="Arial"/>
          <w:szCs w:val="24"/>
          <w:lang w:eastAsia="pt-BR"/>
        </w:rPr>
        <w:t xml:space="preserve">), o tamanho da carcaça e a espessura de pele e gordura da mesma (KATZ e DAWSON, 1964). </w:t>
      </w:r>
    </w:p>
    <w:p w:rsidR="00CA3B43" w:rsidRDefault="00223821" w:rsidP="00E43376">
      <w:pPr>
        <w:spacing w:line="240" w:lineRule="auto"/>
        <w:rPr>
          <w:rFonts w:cs="Arial"/>
        </w:rPr>
      </w:pPr>
      <w:r>
        <w:rPr>
          <w:rFonts w:cs="Arial"/>
          <w:szCs w:val="24"/>
          <w:lang w:eastAsia="pt-BR"/>
        </w:rPr>
        <w:tab/>
      </w:r>
      <w:r w:rsidR="00CA3B43" w:rsidRPr="00F91282">
        <w:rPr>
          <w:rFonts w:cs="Arial"/>
          <w:szCs w:val="24"/>
          <w:lang w:eastAsia="pt-BR"/>
        </w:rPr>
        <w:t>A padronização desempenha importante papel no controle e melhoria da qualidade nas empresas, pelo fato de contribuir para com a diminuição da variabilidade dos processos de produção (</w:t>
      </w:r>
      <w:r w:rsidR="00CA3B43" w:rsidRPr="00164CE8">
        <w:rPr>
          <w:rFonts w:cs="Arial"/>
          <w:szCs w:val="24"/>
        </w:rPr>
        <w:t xml:space="preserve">POLO-REDONDO </w:t>
      </w:r>
      <w:r w:rsidR="00CA3B43">
        <w:rPr>
          <w:rFonts w:cs="Arial"/>
          <w:szCs w:val="24"/>
        </w:rPr>
        <w:t>e</w:t>
      </w:r>
      <w:r w:rsidR="00CA3B43" w:rsidRPr="00164CE8">
        <w:rPr>
          <w:rFonts w:cs="Arial"/>
          <w:szCs w:val="24"/>
        </w:rPr>
        <w:t xml:space="preserve"> CAMBRA-FIERRO</w:t>
      </w:r>
      <w:r w:rsidR="00CA3B43" w:rsidRPr="00F91282">
        <w:rPr>
          <w:rFonts w:cs="Arial"/>
          <w:szCs w:val="24"/>
          <w:lang w:eastAsia="pt-BR"/>
        </w:rPr>
        <w:t xml:space="preserve">, 2008). </w:t>
      </w:r>
      <w:r w:rsidR="00CA3B43" w:rsidRPr="00BB0038">
        <w:rPr>
          <w:rFonts w:cs="Arial"/>
          <w:color w:val="000000"/>
          <w:szCs w:val="24"/>
        </w:rPr>
        <w:t>É o processo de padronização que dá suporte à uniformidade das atividades ao longo processo de agregação de valor e possibilita melhoria contínua no sistema produtivo, uma vez que se baseia em um conjunto de atividades sistemáticas que estabelece, utiliza e avalia padrões quanto ao seu cumprimento, à sua adequação e aos seus efeitos sobre os resultados</w:t>
      </w:r>
      <w:r w:rsidR="00CA3B43">
        <w:rPr>
          <w:rFonts w:cs="Arial"/>
          <w:color w:val="000000"/>
          <w:szCs w:val="24"/>
        </w:rPr>
        <w:t xml:space="preserve"> (CAVANHA FILHO, 2006)</w:t>
      </w:r>
      <w:r w:rsidR="00CA3B43" w:rsidRPr="00BB0038">
        <w:rPr>
          <w:rFonts w:cs="Arial"/>
          <w:color w:val="000000"/>
          <w:szCs w:val="24"/>
        </w:rPr>
        <w:t>.</w:t>
      </w:r>
      <w:r w:rsidR="00CA3B43">
        <w:rPr>
          <w:rFonts w:cs="Arial"/>
        </w:rPr>
        <w:tab/>
      </w:r>
    </w:p>
    <w:p w:rsidR="00CA3B43" w:rsidRDefault="00223821" w:rsidP="00E43376">
      <w:pPr>
        <w:spacing w:line="240" w:lineRule="auto"/>
        <w:rPr>
          <w:rFonts w:cs="Arial"/>
        </w:rPr>
      </w:pPr>
      <w:r>
        <w:rPr>
          <w:rFonts w:cs="Arial"/>
        </w:rPr>
        <w:tab/>
      </w:r>
      <w:r w:rsidR="00CA3B43" w:rsidRPr="00CA3B43">
        <w:rPr>
          <w:rFonts w:cs="Arial"/>
        </w:rPr>
        <w:t>No âmbito do controle de qualidade de processos industriais é comum o uso de ferramentas e técnicas estatísticas para monitoração, controle ou melhoria dos processos produtivos. Contudo, a literatura atual aponta que, para algumas organizações, em sua maioria de grande porte, o potencial da estatística vai além desse vínculo operacional de buscar a melhoria contínua, uma vez que possibilita outras vantagens competitivas decorrentes da garantia da qualidade de produtos e processos (SANTOS e ANTONELLI, 2011).</w:t>
      </w:r>
    </w:p>
    <w:p w:rsidR="00CA3B43" w:rsidRDefault="00CA3B43" w:rsidP="00E43376">
      <w:pPr>
        <w:spacing w:line="240" w:lineRule="auto"/>
        <w:rPr>
          <w:rFonts w:cs="Arial"/>
        </w:rPr>
      </w:pPr>
      <w:r>
        <w:rPr>
          <w:rFonts w:cs="Arial"/>
        </w:rPr>
        <w:tab/>
      </w:r>
      <w:r w:rsidRPr="00CA3B43">
        <w:rPr>
          <w:rFonts w:cs="Arial"/>
        </w:rPr>
        <w:t xml:space="preserve">Uma das ferramentas estatísticas utilizadas para avaliar se um processo está operando dentro das especificações ideais projetadas é a análise da capacidade do processo. Os primeiros índices de capacidade desenvolvidos foram o </w:t>
      </w:r>
      <w:proofErr w:type="spellStart"/>
      <w:r w:rsidRPr="00CA3B43">
        <w:rPr>
          <w:rFonts w:cs="Arial"/>
        </w:rPr>
        <w:t>Cp</w:t>
      </w:r>
      <w:proofErr w:type="spellEnd"/>
      <w:r w:rsidRPr="00CA3B43">
        <w:rPr>
          <w:rFonts w:cs="Arial"/>
        </w:rPr>
        <w:t xml:space="preserve">, chamado de índice de capacidade potencial do processo e o </w:t>
      </w:r>
      <w:proofErr w:type="spellStart"/>
      <w:r w:rsidRPr="00CA3B43">
        <w:rPr>
          <w:rFonts w:cs="Arial"/>
        </w:rPr>
        <w:t>Cpk</w:t>
      </w:r>
      <w:proofErr w:type="spellEnd"/>
      <w:r w:rsidRPr="00CA3B43">
        <w:rPr>
          <w:rFonts w:cs="Arial"/>
        </w:rPr>
        <w:t>, índice de desempenho do processo, sendo os mais utilizados na indústria. A vantagem do emprego destes índices é que eles são adimensionais, facilitando a comparação de processos produtivos, independente do que se esteja produzindo (OLIVEIRA et al., 2011).</w:t>
      </w:r>
    </w:p>
    <w:p w:rsidR="00CA3B43" w:rsidRPr="00CA3B43" w:rsidRDefault="00CA3B43" w:rsidP="00E43376">
      <w:pPr>
        <w:spacing w:line="240" w:lineRule="auto"/>
        <w:rPr>
          <w:rFonts w:cs="Arial"/>
        </w:rPr>
      </w:pPr>
    </w:p>
    <w:p w:rsidR="00E43376" w:rsidRPr="00E43376" w:rsidRDefault="00E43376" w:rsidP="00E43376">
      <w:pPr>
        <w:spacing w:line="240" w:lineRule="auto"/>
        <w:rPr>
          <w:rFonts w:cs="Arial"/>
          <w:b/>
        </w:rPr>
      </w:pPr>
      <w:r w:rsidRPr="00E43376">
        <w:rPr>
          <w:rFonts w:cs="Arial"/>
          <w:b/>
        </w:rPr>
        <w:t>Material e Métodos</w:t>
      </w:r>
    </w:p>
    <w:p w:rsidR="00CA3B43" w:rsidRPr="00CA3B43" w:rsidRDefault="00CA3B43" w:rsidP="00E43376">
      <w:pPr>
        <w:spacing w:line="240" w:lineRule="auto"/>
        <w:rPr>
          <w:rFonts w:cs="Arial"/>
          <w:szCs w:val="24"/>
        </w:rPr>
      </w:pPr>
      <w:r>
        <w:rPr>
          <w:rFonts w:cs="Arial"/>
          <w:szCs w:val="24"/>
        </w:rPr>
        <w:tab/>
      </w:r>
      <w:r w:rsidRPr="00CA3B43">
        <w:rPr>
          <w:rFonts w:cs="Arial"/>
          <w:szCs w:val="24"/>
        </w:rPr>
        <w:t>O presente estudo foi realizado em um abatedouro de aves, sob inspeção federal, situado no sul do Brasil, cuja capacidade de abate é de aproximadamente 720.000 aves/dia.</w:t>
      </w:r>
    </w:p>
    <w:p w:rsidR="00E43376" w:rsidRPr="00CA3B43" w:rsidRDefault="00CA3B43" w:rsidP="00E43376">
      <w:pPr>
        <w:spacing w:line="240" w:lineRule="auto"/>
        <w:rPr>
          <w:rFonts w:cs="Arial"/>
        </w:rPr>
      </w:pPr>
      <w:r>
        <w:rPr>
          <w:rFonts w:cs="Arial"/>
          <w:szCs w:val="24"/>
        </w:rPr>
        <w:tab/>
      </w:r>
      <w:r w:rsidRPr="00CA3B43">
        <w:rPr>
          <w:rFonts w:cs="Arial"/>
          <w:szCs w:val="24"/>
        </w:rPr>
        <w:t xml:space="preserve">Foram coletadas 720 carcaças de frango para avaliação da situação atual do percentual de água absorvida pelas mesmas, no processo em avaliação. As coletas foram realizadas aleatoriamente, durante o período de aproximadamente dois meses e de forma a abranger diferentes dias e horários de produção. Com os índices de absorção obtidos através das coletas, foi realizado a análise de capacidade do processo de absorção de água pelas carcaças de frango durante a etapa de </w:t>
      </w:r>
      <w:proofErr w:type="spellStart"/>
      <w:r w:rsidRPr="00CA3B43">
        <w:rPr>
          <w:rFonts w:cs="Arial"/>
          <w:szCs w:val="24"/>
        </w:rPr>
        <w:t>pré</w:t>
      </w:r>
      <w:proofErr w:type="spellEnd"/>
      <w:r w:rsidRPr="00CA3B43">
        <w:rPr>
          <w:rFonts w:cs="Arial"/>
          <w:szCs w:val="24"/>
        </w:rPr>
        <w:t xml:space="preserve">-resfriamento. </w:t>
      </w:r>
      <w:r w:rsidR="00E43376" w:rsidRPr="00CA3B43">
        <w:rPr>
          <w:rFonts w:cs="Arial"/>
          <w:szCs w:val="24"/>
        </w:rPr>
        <w:t xml:space="preserve">Os resultados foram submetidos a análise de capacidade com o </w:t>
      </w:r>
      <w:proofErr w:type="spellStart"/>
      <w:r w:rsidR="00E43376" w:rsidRPr="00CA3B43">
        <w:rPr>
          <w:rFonts w:cs="Arial"/>
          <w:szCs w:val="24"/>
        </w:rPr>
        <w:t>auxilio</w:t>
      </w:r>
      <w:proofErr w:type="spellEnd"/>
      <w:r w:rsidR="00E43376" w:rsidRPr="00CA3B43">
        <w:rPr>
          <w:rFonts w:cs="Arial"/>
          <w:szCs w:val="24"/>
        </w:rPr>
        <w:t xml:space="preserve"> do software </w:t>
      </w:r>
      <w:proofErr w:type="spellStart"/>
      <w:r w:rsidR="00E43376" w:rsidRPr="00CA3B43">
        <w:rPr>
          <w:rFonts w:cs="Arial"/>
          <w:szCs w:val="24"/>
        </w:rPr>
        <w:t>Minitab</w:t>
      </w:r>
      <w:proofErr w:type="spellEnd"/>
      <w:r w:rsidR="00E43376" w:rsidRPr="00CA3B43">
        <w:rPr>
          <w:rFonts w:cs="Arial"/>
          <w:szCs w:val="24"/>
        </w:rPr>
        <w:t xml:space="preserve"> versão 17.</w:t>
      </w:r>
    </w:p>
    <w:p w:rsidR="00E43376" w:rsidRDefault="00E43376" w:rsidP="00E43376">
      <w:pPr>
        <w:spacing w:line="240" w:lineRule="auto"/>
        <w:rPr>
          <w:rFonts w:cs="Arial"/>
        </w:rPr>
      </w:pPr>
    </w:p>
    <w:p w:rsidR="00E43376" w:rsidRPr="00E43376" w:rsidRDefault="00E43376" w:rsidP="00E43376">
      <w:pPr>
        <w:spacing w:line="240" w:lineRule="auto"/>
        <w:rPr>
          <w:rFonts w:cs="Arial"/>
          <w:b/>
        </w:rPr>
      </w:pPr>
      <w:r w:rsidRPr="00E43376">
        <w:rPr>
          <w:rFonts w:cs="Arial"/>
          <w:b/>
        </w:rPr>
        <w:t>Resultados e Discussão</w:t>
      </w:r>
    </w:p>
    <w:p w:rsidR="00FE5874" w:rsidRPr="00FE5874" w:rsidRDefault="00FE5874" w:rsidP="00E43376">
      <w:pPr>
        <w:spacing w:line="240" w:lineRule="auto"/>
        <w:rPr>
          <w:rFonts w:cs="Arial"/>
          <w:szCs w:val="24"/>
        </w:rPr>
      </w:pPr>
      <w:r w:rsidRPr="00E43376">
        <w:rPr>
          <w:rFonts w:cs="Arial"/>
          <w:szCs w:val="24"/>
        </w:rPr>
        <w:tab/>
      </w:r>
      <w:r w:rsidR="00E43376" w:rsidRPr="00E43376">
        <w:rPr>
          <w:rFonts w:cs="Arial"/>
          <w:szCs w:val="24"/>
        </w:rPr>
        <w:t>A avaliação das variáveis</w:t>
      </w:r>
      <w:r w:rsidR="00E43376" w:rsidRPr="001F64C9">
        <w:rPr>
          <w:rFonts w:cs="Arial"/>
          <w:szCs w:val="24"/>
        </w:rPr>
        <w:t xml:space="preserve"> sobre o processo de absorção de água </w:t>
      </w:r>
      <w:r w:rsidR="00E43376" w:rsidRPr="00FE5874">
        <w:rPr>
          <w:rFonts w:cs="Arial"/>
          <w:szCs w:val="24"/>
        </w:rPr>
        <w:t xml:space="preserve">pelas carcaças de frango durante a etapa de </w:t>
      </w:r>
      <w:proofErr w:type="spellStart"/>
      <w:r w:rsidR="00E43376" w:rsidRPr="00FE5874">
        <w:rPr>
          <w:rFonts w:cs="Arial"/>
          <w:szCs w:val="24"/>
        </w:rPr>
        <w:t>pré</w:t>
      </w:r>
      <w:proofErr w:type="spellEnd"/>
      <w:r w:rsidR="00E43376" w:rsidRPr="00FE5874">
        <w:rPr>
          <w:rFonts w:cs="Arial"/>
          <w:szCs w:val="24"/>
        </w:rPr>
        <w:t>-resfriamento</w:t>
      </w:r>
      <w:r w:rsidR="00E43376">
        <w:rPr>
          <w:rFonts w:cs="Arial"/>
          <w:szCs w:val="24"/>
        </w:rPr>
        <w:t xml:space="preserve"> foi realizada </w:t>
      </w:r>
      <w:r w:rsidRPr="00FE5874">
        <w:rPr>
          <w:rFonts w:cs="Arial"/>
          <w:szCs w:val="24"/>
        </w:rPr>
        <w:t xml:space="preserve">de modo a avaliar a variabilidade do processo em estudo. Analisando o histograma apresentado na </w:t>
      </w:r>
      <w:r w:rsidRPr="00FE5874">
        <w:rPr>
          <w:rFonts w:cs="Arial"/>
          <w:szCs w:val="24"/>
        </w:rPr>
        <w:lastRenderedPageBreak/>
        <w:t>Figura 1, verificou-se que a maioria dos valores de absorção concentram-se entre o intervalo de 5 e 8, sendo que a absorção média foi de 6,14% (± 1,66).</w:t>
      </w:r>
    </w:p>
    <w:p w:rsidR="00AD1F13" w:rsidRPr="00FE5874" w:rsidRDefault="00FE5874" w:rsidP="00FE5874">
      <w:pPr>
        <w:spacing w:line="240" w:lineRule="auto"/>
        <w:rPr>
          <w:rFonts w:cs="Arial"/>
          <w:szCs w:val="24"/>
        </w:rPr>
      </w:pPr>
      <w:r w:rsidRPr="00FE5874">
        <w:rPr>
          <w:rFonts w:cs="Arial"/>
          <w:szCs w:val="24"/>
        </w:rPr>
        <w:tab/>
      </w:r>
    </w:p>
    <w:p w:rsidR="00FE5874" w:rsidRPr="00FE5874" w:rsidRDefault="003C58EA" w:rsidP="00FE5874">
      <w:pPr>
        <w:spacing w:line="240" w:lineRule="auto"/>
        <w:rPr>
          <w:rFonts w:cs="Arial"/>
        </w:rPr>
      </w:pPr>
      <w:r w:rsidRPr="0091269C">
        <w:rPr>
          <w:rFonts w:cs="Arial"/>
          <w:noProof/>
          <w:lang w:eastAsia="pt-BR"/>
        </w:rPr>
        <w:drawing>
          <wp:inline distT="0" distB="0" distL="0" distR="0">
            <wp:extent cx="5638800" cy="3019425"/>
            <wp:effectExtent l="0" t="0" r="0" b="0"/>
            <wp:docPr id="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7">
                      <a:extLst>
                        <a:ext uri="{28A0092B-C50C-407E-A947-70E740481C1C}">
                          <a14:useLocalDpi xmlns:a14="http://schemas.microsoft.com/office/drawing/2010/main" val="0"/>
                        </a:ext>
                      </a:extLst>
                    </a:blip>
                    <a:srcRect l="1366" t="5746" r="1427" b="2528"/>
                    <a:stretch>
                      <a:fillRect/>
                    </a:stretch>
                  </pic:blipFill>
                  <pic:spPr bwMode="auto">
                    <a:xfrm>
                      <a:off x="0" y="0"/>
                      <a:ext cx="5638800" cy="3019425"/>
                    </a:xfrm>
                    <a:prstGeom prst="rect">
                      <a:avLst/>
                    </a:prstGeom>
                    <a:noFill/>
                    <a:ln>
                      <a:noFill/>
                    </a:ln>
                  </pic:spPr>
                </pic:pic>
              </a:graphicData>
            </a:graphic>
          </wp:inline>
        </w:drawing>
      </w:r>
    </w:p>
    <w:p w:rsidR="00FE5874" w:rsidRPr="00FE5874" w:rsidRDefault="00FE5874" w:rsidP="00FE5874">
      <w:pPr>
        <w:pStyle w:val="Subttulo"/>
        <w:spacing w:line="240" w:lineRule="auto"/>
        <w:rPr>
          <w:rFonts w:ascii="Arial" w:hAnsi="Arial" w:cs="Arial"/>
        </w:rPr>
      </w:pPr>
      <w:bookmarkStart w:id="1" w:name="_Toc460850793"/>
      <w:bookmarkStart w:id="2" w:name="_Toc460850939"/>
      <w:r w:rsidRPr="00FE5874">
        <w:rPr>
          <w:rFonts w:ascii="Arial" w:hAnsi="Arial" w:cs="Arial"/>
        </w:rPr>
        <w:t>Figura 1: Análise de capacidade do processo de absorção com todas as amostras.</w:t>
      </w:r>
      <w:bookmarkEnd w:id="1"/>
      <w:bookmarkEnd w:id="2"/>
    </w:p>
    <w:p w:rsidR="00FE5874" w:rsidRDefault="00FE5874" w:rsidP="00FE5874">
      <w:pPr>
        <w:spacing w:line="240" w:lineRule="auto"/>
        <w:rPr>
          <w:rFonts w:cs="Arial"/>
          <w:szCs w:val="24"/>
        </w:rPr>
      </w:pPr>
    </w:p>
    <w:p w:rsidR="00AD1F13" w:rsidRDefault="00AD1F13" w:rsidP="00AD1F13">
      <w:pPr>
        <w:spacing w:line="240" w:lineRule="auto"/>
        <w:rPr>
          <w:rFonts w:cs="Arial"/>
          <w:szCs w:val="24"/>
        </w:rPr>
      </w:pPr>
      <w:r>
        <w:rPr>
          <w:rFonts w:cs="Arial"/>
          <w:szCs w:val="24"/>
        </w:rPr>
        <w:tab/>
      </w:r>
      <w:r w:rsidRPr="00FE5874">
        <w:rPr>
          <w:rFonts w:cs="Arial"/>
          <w:szCs w:val="24"/>
        </w:rPr>
        <w:t xml:space="preserve">Foi definido como limite inferior de especificação (LIE) resultados de absorção até 5% e limite superior de especificação (LSE), resultados de absorção até 8%. Isso porque resultados abaixo de 5% representam diminuição da lucratividade e resultados acima de 8%, violação da legislação nacional vigente (BRASIL, 1998). Observou-se assim, uma variabilidade nos resultados de absorção, sendo que 34,17% dos resultados apresentaram absorção abaixo de 5% ou acima de 8%. Neste caso, onde avaliou-se as carcaças individualmente, 11,53% das carcaças estão com o percentual de absorção de água acima do limite permitido pela legislação, que é de 8%. </w:t>
      </w:r>
    </w:p>
    <w:p w:rsidR="00FE5874" w:rsidRPr="00FE5874" w:rsidRDefault="00FE5874" w:rsidP="00FE5874">
      <w:pPr>
        <w:autoSpaceDE w:val="0"/>
        <w:autoSpaceDN w:val="0"/>
        <w:adjustRightInd w:val="0"/>
        <w:spacing w:line="240" w:lineRule="auto"/>
        <w:rPr>
          <w:rFonts w:cs="Arial"/>
          <w:color w:val="000000"/>
          <w:szCs w:val="24"/>
          <w:lang w:eastAsia="pt-BR"/>
        </w:rPr>
      </w:pPr>
      <w:r w:rsidRPr="00FE5874">
        <w:rPr>
          <w:rFonts w:cs="Arial"/>
          <w:color w:val="000000"/>
          <w:szCs w:val="24"/>
          <w:lang w:eastAsia="pt-BR"/>
        </w:rPr>
        <w:tab/>
        <w:t xml:space="preserve">A avaliação da capacidade do processo em atender às especificações estabelecidas é medida através da relação entre a variabilidade natural do processo em relação à variabilidade que é permitida a esse processo, dada pelos limites de especificação. Para tanto, são utilizados índices </w:t>
      </w:r>
      <w:proofErr w:type="spellStart"/>
      <w:r w:rsidRPr="00FE5874">
        <w:rPr>
          <w:rFonts w:cs="Arial"/>
          <w:color w:val="000000"/>
          <w:szCs w:val="24"/>
          <w:lang w:eastAsia="pt-BR"/>
        </w:rPr>
        <w:t>adimencionais</w:t>
      </w:r>
      <w:proofErr w:type="spellEnd"/>
      <w:r w:rsidRPr="00FE5874">
        <w:rPr>
          <w:rFonts w:cs="Arial"/>
          <w:color w:val="000000"/>
          <w:szCs w:val="24"/>
          <w:lang w:eastAsia="pt-BR"/>
        </w:rPr>
        <w:t xml:space="preserve"> </w:t>
      </w:r>
      <w:r w:rsidRPr="00FE5874">
        <w:rPr>
          <w:rFonts w:cs="Arial"/>
          <w:szCs w:val="24"/>
        </w:rPr>
        <w:t xml:space="preserve">que permitem uma quantificação do desempenho de processos, entre eles O </w:t>
      </w:r>
      <w:proofErr w:type="spellStart"/>
      <w:r w:rsidRPr="00FE5874">
        <w:rPr>
          <w:rFonts w:cs="Arial"/>
          <w:szCs w:val="24"/>
        </w:rPr>
        <w:t>Cp</w:t>
      </w:r>
      <w:proofErr w:type="spellEnd"/>
      <w:r w:rsidRPr="00FE5874">
        <w:rPr>
          <w:rFonts w:cs="Arial"/>
          <w:szCs w:val="24"/>
        </w:rPr>
        <w:t xml:space="preserve"> (</w:t>
      </w:r>
      <w:r w:rsidRPr="00FE5874">
        <w:rPr>
          <w:rFonts w:cs="Arial"/>
          <w:color w:val="000000"/>
          <w:szCs w:val="24"/>
        </w:rPr>
        <w:t>índice de capacidade poten</w:t>
      </w:r>
      <w:r w:rsidRPr="00FE5874">
        <w:rPr>
          <w:rFonts w:cs="Arial"/>
          <w:color w:val="000000"/>
          <w:szCs w:val="24"/>
        </w:rPr>
        <w:softHyphen/>
        <w:t>cial do processo)</w:t>
      </w:r>
      <w:r w:rsidRPr="00FE5874">
        <w:rPr>
          <w:rFonts w:cs="Arial"/>
          <w:color w:val="000000"/>
          <w:sz w:val="21"/>
          <w:szCs w:val="21"/>
        </w:rPr>
        <w:t xml:space="preserve"> </w:t>
      </w:r>
      <w:r w:rsidRPr="00FE5874">
        <w:rPr>
          <w:rFonts w:cs="Arial"/>
          <w:szCs w:val="24"/>
        </w:rPr>
        <w:t xml:space="preserve">e o </w:t>
      </w:r>
      <w:proofErr w:type="spellStart"/>
      <w:r w:rsidRPr="00FE5874">
        <w:rPr>
          <w:rFonts w:cs="Arial"/>
          <w:szCs w:val="24"/>
        </w:rPr>
        <w:t>Cpk</w:t>
      </w:r>
      <w:proofErr w:type="spellEnd"/>
      <w:r w:rsidRPr="00FE5874">
        <w:rPr>
          <w:rFonts w:cs="Arial"/>
          <w:szCs w:val="24"/>
        </w:rPr>
        <w:t xml:space="preserve"> (índice de desempenho do processo) </w:t>
      </w:r>
      <w:r w:rsidRPr="00FE5874">
        <w:rPr>
          <w:rFonts w:cs="Arial"/>
        </w:rPr>
        <w:t>(MONTGOMERY,</w:t>
      </w:r>
      <w:r w:rsidRPr="00FE5874">
        <w:rPr>
          <w:rFonts w:cs="Arial"/>
          <w:szCs w:val="24"/>
        </w:rPr>
        <w:t xml:space="preserve"> 2009; </w:t>
      </w:r>
      <w:r w:rsidRPr="00FE5874">
        <w:rPr>
          <w:rFonts w:cs="Arial"/>
        </w:rPr>
        <w:t>GONÇALEZ e WERNER, 2009</w:t>
      </w:r>
      <w:r w:rsidRPr="00FE5874">
        <w:rPr>
          <w:rFonts w:cs="Arial"/>
          <w:szCs w:val="24"/>
        </w:rPr>
        <w:t>).</w:t>
      </w:r>
    </w:p>
    <w:p w:rsidR="00FE5874" w:rsidRPr="00FE5874" w:rsidRDefault="00FE5874" w:rsidP="00FE5874">
      <w:pPr>
        <w:pStyle w:val="Default"/>
        <w:spacing w:before="0" w:after="0" w:line="240" w:lineRule="auto"/>
        <w:jc w:val="both"/>
        <w:rPr>
          <w:color w:val="auto"/>
        </w:rPr>
      </w:pPr>
      <w:r w:rsidRPr="00FE5874">
        <w:rPr>
          <w:color w:val="auto"/>
        </w:rPr>
        <w:tab/>
        <w:t xml:space="preserve">Como o </w:t>
      </w:r>
      <w:proofErr w:type="spellStart"/>
      <w:r w:rsidRPr="00FE5874">
        <w:rPr>
          <w:i/>
          <w:color w:val="auto"/>
        </w:rPr>
        <w:t>Cp</w:t>
      </w:r>
      <w:proofErr w:type="spellEnd"/>
      <w:r w:rsidRPr="00FE5874">
        <w:rPr>
          <w:color w:val="auto"/>
        </w:rPr>
        <w:t xml:space="preserve"> (0,35) foi diferente de </w:t>
      </w:r>
      <w:proofErr w:type="spellStart"/>
      <w:r w:rsidRPr="00FE5874">
        <w:rPr>
          <w:color w:val="auto"/>
        </w:rPr>
        <w:t>C</w:t>
      </w:r>
      <w:r w:rsidRPr="00FE5874">
        <w:rPr>
          <w:i/>
          <w:color w:val="auto"/>
        </w:rPr>
        <w:t>pk</w:t>
      </w:r>
      <w:proofErr w:type="spellEnd"/>
      <w:r w:rsidRPr="00FE5874">
        <w:rPr>
          <w:color w:val="auto"/>
        </w:rPr>
        <w:t xml:space="preserve"> (0,26), o processo não está centrado no ponto médio das especificações. Nestes casos, </w:t>
      </w:r>
      <w:r w:rsidRPr="00FE5874">
        <w:t xml:space="preserve">o uso do índice </w:t>
      </w:r>
      <w:proofErr w:type="spellStart"/>
      <w:r w:rsidRPr="00FE5874">
        <w:t>Cp</w:t>
      </w:r>
      <w:proofErr w:type="spellEnd"/>
      <w:r w:rsidRPr="00FE5874">
        <w:t xml:space="preserve"> pode levar a conclusões erradas, sendo utilizado o índice de desempenho </w:t>
      </w:r>
      <w:proofErr w:type="spellStart"/>
      <w:r w:rsidRPr="00FE5874">
        <w:t>Cpk</w:t>
      </w:r>
      <w:proofErr w:type="spellEnd"/>
      <w:r w:rsidRPr="00FE5874">
        <w:t xml:space="preserve">, que leva em consideração a distância da média do processo em relação aos limites de especificação (GONÇALEZ e WERNER, 2009). Para analisar o índice </w:t>
      </w:r>
      <w:proofErr w:type="spellStart"/>
      <w:r w:rsidRPr="00FE5874">
        <w:rPr>
          <w:i/>
        </w:rPr>
        <w:t>Cp</w:t>
      </w:r>
      <w:proofErr w:type="spellEnd"/>
      <w:r w:rsidRPr="00FE5874">
        <w:t xml:space="preserve">, Montgomery (2009) define três intervalos de referência: </w:t>
      </w:r>
      <w:proofErr w:type="spellStart"/>
      <w:r w:rsidRPr="00FE5874">
        <w:rPr>
          <w:i/>
        </w:rPr>
        <w:t>Cp</w:t>
      </w:r>
      <w:proofErr w:type="spellEnd"/>
      <w:r w:rsidRPr="00FE5874">
        <w:rPr>
          <w:i/>
        </w:rPr>
        <w:t xml:space="preserve"> </w:t>
      </w:r>
      <w:r w:rsidRPr="00FE5874">
        <w:t xml:space="preserve">ou </w:t>
      </w:r>
      <w:proofErr w:type="spellStart"/>
      <w:r w:rsidRPr="00FE5874">
        <w:rPr>
          <w:i/>
        </w:rPr>
        <w:t>Cpk</w:t>
      </w:r>
      <w:proofErr w:type="spellEnd"/>
      <w:r w:rsidRPr="00FE5874">
        <w:rPr>
          <w:i/>
        </w:rPr>
        <w:t xml:space="preserve"> </w:t>
      </w:r>
      <w:r w:rsidRPr="00FE5874">
        <w:t xml:space="preserve">&lt; 1 o processo é considerado incapaz; </w:t>
      </w:r>
      <w:proofErr w:type="spellStart"/>
      <w:r w:rsidRPr="00FE5874">
        <w:rPr>
          <w:i/>
        </w:rPr>
        <w:t>Cp</w:t>
      </w:r>
      <w:proofErr w:type="spellEnd"/>
      <w:r w:rsidRPr="00FE5874">
        <w:rPr>
          <w:i/>
        </w:rPr>
        <w:t xml:space="preserve"> </w:t>
      </w:r>
      <w:r w:rsidRPr="00FE5874">
        <w:t xml:space="preserve">ou </w:t>
      </w:r>
      <w:proofErr w:type="spellStart"/>
      <w:r w:rsidRPr="00FE5874">
        <w:rPr>
          <w:i/>
        </w:rPr>
        <w:t>Cpk</w:t>
      </w:r>
      <w:proofErr w:type="spellEnd"/>
      <w:r w:rsidRPr="00FE5874">
        <w:t xml:space="preserve"> ≥ 1 ou ≤ 1,33 o processo é aceitável; </w:t>
      </w:r>
      <w:proofErr w:type="spellStart"/>
      <w:r w:rsidRPr="00FE5874">
        <w:rPr>
          <w:i/>
        </w:rPr>
        <w:t>Cp</w:t>
      </w:r>
      <w:proofErr w:type="spellEnd"/>
      <w:r w:rsidRPr="00FE5874">
        <w:rPr>
          <w:i/>
        </w:rPr>
        <w:t xml:space="preserve"> </w:t>
      </w:r>
      <w:r w:rsidRPr="00FE5874">
        <w:t xml:space="preserve">ou </w:t>
      </w:r>
      <w:proofErr w:type="spellStart"/>
      <w:r w:rsidRPr="00FE5874">
        <w:rPr>
          <w:i/>
        </w:rPr>
        <w:t>Cpk</w:t>
      </w:r>
      <w:proofErr w:type="spellEnd"/>
      <w:r w:rsidRPr="00FE5874">
        <w:t xml:space="preserve"> ≥ 1,33, diz-se que o processo é potencialmente capaz. Em geral, quanto maior o </w:t>
      </w:r>
      <w:proofErr w:type="spellStart"/>
      <w:r w:rsidRPr="00FE5874">
        <w:rPr>
          <w:i/>
        </w:rPr>
        <w:t>Cp</w:t>
      </w:r>
      <w:proofErr w:type="spellEnd"/>
      <w:r w:rsidRPr="00FE5874">
        <w:rPr>
          <w:i/>
        </w:rPr>
        <w:t>,</w:t>
      </w:r>
      <w:r w:rsidRPr="00FE5874">
        <w:t xml:space="preserve"> mais capaz é o seu processo. </w:t>
      </w:r>
      <w:r w:rsidRPr="00FE5874">
        <w:rPr>
          <w:color w:val="auto"/>
        </w:rPr>
        <w:t xml:space="preserve">Assim, assume-se que o processo de </w:t>
      </w:r>
      <w:proofErr w:type="spellStart"/>
      <w:r w:rsidRPr="00FE5874">
        <w:rPr>
          <w:color w:val="auto"/>
        </w:rPr>
        <w:t>pré</w:t>
      </w:r>
      <w:proofErr w:type="spellEnd"/>
      <w:r w:rsidRPr="00FE5874">
        <w:rPr>
          <w:color w:val="auto"/>
        </w:rPr>
        <w:t xml:space="preserve">-resfriamento está sendo incapaz em relação a absorção de água pois apresentou </w:t>
      </w:r>
      <w:proofErr w:type="spellStart"/>
      <w:proofErr w:type="gramStart"/>
      <w:r w:rsidRPr="00FE5874">
        <w:rPr>
          <w:i/>
          <w:color w:val="auto"/>
        </w:rPr>
        <w:t>Cpk</w:t>
      </w:r>
      <w:proofErr w:type="spellEnd"/>
      <w:r w:rsidRPr="00FE5874">
        <w:rPr>
          <w:i/>
          <w:color w:val="auto"/>
        </w:rPr>
        <w:t xml:space="preserve"> </w:t>
      </w:r>
      <w:r w:rsidRPr="00FE5874">
        <w:rPr>
          <w:color w:val="auto"/>
        </w:rPr>
        <w:t xml:space="preserve"> muito</w:t>
      </w:r>
      <w:proofErr w:type="gramEnd"/>
      <w:r w:rsidRPr="00FE5874">
        <w:rPr>
          <w:color w:val="auto"/>
        </w:rPr>
        <w:t xml:space="preserve"> inferior a 1,0</w:t>
      </w:r>
      <w:r w:rsidRPr="00FE5874">
        <w:rPr>
          <w:i/>
          <w:color w:val="auto"/>
        </w:rPr>
        <w:t>.</w:t>
      </w:r>
    </w:p>
    <w:p w:rsidR="00FE5874" w:rsidRPr="00FE5874" w:rsidRDefault="00FE5874" w:rsidP="00FE5874">
      <w:pPr>
        <w:spacing w:line="240" w:lineRule="auto"/>
        <w:ind w:firstLine="708"/>
        <w:rPr>
          <w:rFonts w:cs="Arial"/>
          <w:color w:val="FF0000"/>
          <w:szCs w:val="24"/>
        </w:rPr>
      </w:pPr>
      <w:r w:rsidRPr="00FE5874">
        <w:rPr>
          <w:rFonts w:cs="Arial"/>
          <w:szCs w:val="24"/>
        </w:rPr>
        <w:t xml:space="preserve">Embora neste primeiro momento o processo de </w:t>
      </w:r>
      <w:proofErr w:type="spellStart"/>
      <w:r w:rsidRPr="00FE5874">
        <w:rPr>
          <w:rFonts w:cs="Arial"/>
          <w:szCs w:val="24"/>
        </w:rPr>
        <w:t>pré</w:t>
      </w:r>
      <w:proofErr w:type="spellEnd"/>
      <w:r w:rsidRPr="00FE5874">
        <w:rPr>
          <w:rFonts w:cs="Arial"/>
          <w:szCs w:val="24"/>
        </w:rPr>
        <w:t xml:space="preserve">-resfriamento de carcaças de frango pode ser considerado incapaz, de acordo com a análise de capacidade </w:t>
      </w:r>
      <w:r w:rsidRPr="00FE5874">
        <w:rPr>
          <w:rFonts w:cs="Arial"/>
          <w:szCs w:val="24"/>
        </w:rPr>
        <w:lastRenderedPageBreak/>
        <w:t>obtida através dos índices de absorção, o controle realizado tanto pela empresa quanto pelo Sistema de Inspeção Federal, garantem o atendimento do percentual de absorção dentro do limite máximo permitido de 8%, uma vez que são considerados os valores médios de absorção.</w:t>
      </w:r>
    </w:p>
    <w:p w:rsidR="00FE5874" w:rsidRPr="00FE5874" w:rsidRDefault="00FE5874" w:rsidP="00FE5874">
      <w:pPr>
        <w:spacing w:line="240" w:lineRule="auto"/>
        <w:ind w:firstLine="708"/>
        <w:rPr>
          <w:rFonts w:cs="Arial"/>
          <w:szCs w:val="24"/>
        </w:rPr>
      </w:pPr>
      <w:r w:rsidRPr="00FE5874">
        <w:rPr>
          <w:rFonts w:cs="Arial"/>
          <w:szCs w:val="24"/>
        </w:rPr>
        <w:t xml:space="preserve">De acordo com o PPCAAP (Programa para Prevenção e Controle de Adição de Água aos Produtos), realizado com base na Portaria nº 210/1998 (BRASIL, 1998), cada teste de absorção é composto por 12 carcaças sendo que o percentual de absorção é a média das 12 carcaças do teste. Desta forma pode-se verificar que nenhum teste ficou acima do limite superior especificado(LSE) de 8% (Figura </w:t>
      </w:r>
      <w:r w:rsidR="00E43376">
        <w:rPr>
          <w:rFonts w:cs="Arial"/>
          <w:szCs w:val="24"/>
        </w:rPr>
        <w:t>2</w:t>
      </w:r>
      <w:r w:rsidRPr="00FE5874">
        <w:rPr>
          <w:rFonts w:cs="Arial"/>
          <w:szCs w:val="24"/>
        </w:rPr>
        <w:t xml:space="preserve">). </w:t>
      </w:r>
    </w:p>
    <w:p w:rsidR="00FE5874" w:rsidRPr="00FE5874" w:rsidRDefault="003C58EA" w:rsidP="00AD1F13">
      <w:pPr>
        <w:spacing w:line="240" w:lineRule="auto"/>
        <w:rPr>
          <w:rFonts w:cs="Arial"/>
          <w:szCs w:val="24"/>
        </w:rPr>
      </w:pPr>
      <w:r w:rsidRPr="0091269C">
        <w:rPr>
          <w:rFonts w:cs="Arial"/>
          <w:noProof/>
          <w:szCs w:val="24"/>
          <w:lang w:eastAsia="pt-BR"/>
        </w:rPr>
        <w:drawing>
          <wp:inline distT="0" distB="0" distL="0" distR="0">
            <wp:extent cx="5686425" cy="3552825"/>
            <wp:effectExtent l="0" t="0" r="0" b="0"/>
            <wp:docPr id="2"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4"/>
                    <pic:cNvPicPr>
                      <a:picLocks noChangeAspect="1" noChangeArrowheads="1"/>
                    </pic:cNvPicPr>
                  </pic:nvPicPr>
                  <pic:blipFill>
                    <a:blip r:embed="rId8">
                      <a:extLst>
                        <a:ext uri="{28A0092B-C50C-407E-A947-70E740481C1C}">
                          <a14:useLocalDpi xmlns:a14="http://schemas.microsoft.com/office/drawing/2010/main" val="0"/>
                        </a:ext>
                      </a:extLst>
                    </a:blip>
                    <a:srcRect l="1140" t="2594" r="1344" b="1888"/>
                    <a:stretch>
                      <a:fillRect/>
                    </a:stretch>
                  </pic:blipFill>
                  <pic:spPr bwMode="auto">
                    <a:xfrm>
                      <a:off x="0" y="0"/>
                      <a:ext cx="5686425" cy="3552825"/>
                    </a:xfrm>
                    <a:prstGeom prst="rect">
                      <a:avLst/>
                    </a:prstGeom>
                    <a:noFill/>
                    <a:ln>
                      <a:noFill/>
                    </a:ln>
                  </pic:spPr>
                </pic:pic>
              </a:graphicData>
            </a:graphic>
          </wp:inline>
        </w:drawing>
      </w:r>
    </w:p>
    <w:p w:rsidR="00FE5874" w:rsidRPr="00FE5874" w:rsidRDefault="00FE5874" w:rsidP="00FE5874">
      <w:pPr>
        <w:pStyle w:val="Subttulo"/>
        <w:spacing w:line="240" w:lineRule="auto"/>
        <w:rPr>
          <w:rFonts w:ascii="Arial" w:hAnsi="Arial" w:cs="Arial"/>
        </w:rPr>
      </w:pPr>
      <w:bookmarkStart w:id="3" w:name="_Toc460850794"/>
      <w:bookmarkStart w:id="4" w:name="_Toc460850940"/>
      <w:r w:rsidRPr="00FE5874">
        <w:rPr>
          <w:rFonts w:ascii="Arial" w:hAnsi="Arial" w:cs="Arial"/>
        </w:rPr>
        <w:t xml:space="preserve">Figura </w:t>
      </w:r>
      <w:r w:rsidR="00E43376">
        <w:rPr>
          <w:rFonts w:ascii="Arial" w:hAnsi="Arial" w:cs="Arial"/>
        </w:rPr>
        <w:t>2</w:t>
      </w:r>
      <w:r w:rsidRPr="00FE5874">
        <w:rPr>
          <w:rFonts w:ascii="Arial" w:hAnsi="Arial" w:cs="Arial"/>
        </w:rPr>
        <w:t>: Análise de capacidade do processo de absorção com a média das amostras conforme Portaria nº 210/1998.</w:t>
      </w:r>
      <w:bookmarkEnd w:id="3"/>
      <w:bookmarkEnd w:id="4"/>
    </w:p>
    <w:p w:rsidR="00FE5874" w:rsidRPr="00FE5874" w:rsidRDefault="00FE5874" w:rsidP="00FE5874">
      <w:pPr>
        <w:spacing w:line="240" w:lineRule="auto"/>
        <w:ind w:firstLine="708"/>
        <w:rPr>
          <w:rFonts w:cs="Arial"/>
          <w:color w:val="FF0000"/>
          <w:szCs w:val="24"/>
        </w:rPr>
      </w:pPr>
    </w:p>
    <w:p w:rsidR="00FE5874" w:rsidRDefault="00FE5874" w:rsidP="00FE5874">
      <w:pPr>
        <w:spacing w:line="240" w:lineRule="auto"/>
        <w:ind w:firstLine="708"/>
        <w:rPr>
          <w:rFonts w:cs="Arial"/>
          <w:szCs w:val="24"/>
        </w:rPr>
      </w:pPr>
      <w:r w:rsidRPr="00FE5874">
        <w:rPr>
          <w:rFonts w:cs="Arial"/>
          <w:szCs w:val="24"/>
        </w:rPr>
        <w:t xml:space="preserve">Entretanto, a incidência de resultados fora dos padrões, pode </w:t>
      </w:r>
      <w:proofErr w:type="gramStart"/>
      <w:r w:rsidRPr="00FE5874">
        <w:rPr>
          <w:rFonts w:cs="Arial"/>
          <w:szCs w:val="24"/>
        </w:rPr>
        <w:t>gerar  risco</w:t>
      </w:r>
      <w:proofErr w:type="gramEnd"/>
      <w:r w:rsidRPr="00FE5874">
        <w:rPr>
          <w:rFonts w:cs="Arial"/>
          <w:szCs w:val="24"/>
        </w:rPr>
        <w:t xml:space="preserve"> de ter resultados de absorção acima do limite permitido. Desta forma, verificou-se a necessidade de reduzir essa variabilidade do processo e, através dos parâmetros de controle, trabalhar com um percentual de absorção que vise lucratividade, mas que acima de tudo atenda as exigências legais.</w:t>
      </w:r>
    </w:p>
    <w:p w:rsidR="00AD1F13" w:rsidRDefault="00AD1F13" w:rsidP="00FE5874">
      <w:pPr>
        <w:spacing w:line="240" w:lineRule="auto"/>
        <w:ind w:firstLine="708"/>
        <w:rPr>
          <w:rFonts w:cs="Arial"/>
          <w:szCs w:val="24"/>
        </w:rPr>
      </w:pPr>
    </w:p>
    <w:p w:rsidR="00AD1F13" w:rsidRPr="00AD1F13" w:rsidRDefault="00AD1F13" w:rsidP="00AD1F13">
      <w:pPr>
        <w:spacing w:line="240" w:lineRule="auto"/>
        <w:rPr>
          <w:rFonts w:cs="Arial"/>
          <w:b/>
          <w:szCs w:val="24"/>
        </w:rPr>
      </w:pPr>
      <w:r w:rsidRPr="00AD1F13">
        <w:rPr>
          <w:rFonts w:cs="Arial"/>
          <w:b/>
          <w:szCs w:val="24"/>
        </w:rPr>
        <w:t>Conclusão</w:t>
      </w:r>
    </w:p>
    <w:p w:rsidR="00AD1F13" w:rsidRPr="00AD1F13" w:rsidRDefault="00AD1F13" w:rsidP="00AD1F13">
      <w:pPr>
        <w:spacing w:line="240" w:lineRule="auto"/>
        <w:ind w:firstLine="708"/>
        <w:rPr>
          <w:rFonts w:cs="Arial"/>
          <w:szCs w:val="24"/>
        </w:rPr>
      </w:pPr>
      <w:r w:rsidRPr="00AD1F13">
        <w:rPr>
          <w:rFonts w:cs="Arial"/>
          <w:szCs w:val="24"/>
        </w:rPr>
        <w:t xml:space="preserve">A etapa de </w:t>
      </w:r>
      <w:proofErr w:type="spellStart"/>
      <w:r w:rsidRPr="00AD1F13">
        <w:rPr>
          <w:rFonts w:cs="Arial"/>
          <w:szCs w:val="24"/>
        </w:rPr>
        <w:t>pré</w:t>
      </w:r>
      <w:proofErr w:type="spellEnd"/>
      <w:r w:rsidRPr="00AD1F13">
        <w:rPr>
          <w:rFonts w:cs="Arial"/>
          <w:szCs w:val="24"/>
        </w:rPr>
        <w:t xml:space="preserve">-resfriamento de carcaças é uma das etapas mais importantes do processamento industrial de aves. Existe uma grande preocupação das empresas em conseguir controlar os processos produtivos evitando que possíveis desvios possam resultar em absorção excessiva de água pelas carcaças de frango, podendo prejudicar a imagem da empresa e de seus produtos. Neste contexto, buscou-se conhecer as condições do processo </w:t>
      </w:r>
      <w:r>
        <w:rPr>
          <w:rFonts w:cs="Arial"/>
          <w:szCs w:val="24"/>
        </w:rPr>
        <w:t>visando</w:t>
      </w:r>
      <w:r w:rsidRPr="00AD1F13">
        <w:rPr>
          <w:rFonts w:cs="Arial"/>
          <w:szCs w:val="24"/>
        </w:rPr>
        <w:t xml:space="preserve"> encontrar soluções e oportunidades de melhoria para essa importante etapa do processamento industrial de frangos.</w:t>
      </w:r>
    </w:p>
    <w:p w:rsidR="00795853" w:rsidRDefault="00795853" w:rsidP="00AD1F13">
      <w:pPr>
        <w:spacing w:line="240" w:lineRule="auto"/>
        <w:rPr>
          <w:rFonts w:cs="Arial"/>
          <w:b/>
          <w:szCs w:val="24"/>
        </w:rPr>
      </w:pPr>
    </w:p>
    <w:p w:rsidR="00AD1F13" w:rsidRPr="00AD1F13" w:rsidRDefault="00AD1F13" w:rsidP="00AD1F13">
      <w:pPr>
        <w:spacing w:line="240" w:lineRule="auto"/>
        <w:rPr>
          <w:rFonts w:cs="Arial"/>
          <w:b/>
          <w:szCs w:val="24"/>
        </w:rPr>
      </w:pPr>
      <w:r w:rsidRPr="00AD1F13">
        <w:rPr>
          <w:rFonts w:cs="Arial"/>
          <w:b/>
          <w:szCs w:val="24"/>
        </w:rPr>
        <w:t>Referências</w:t>
      </w:r>
    </w:p>
    <w:p w:rsidR="00AD1F13" w:rsidRPr="00D7316D" w:rsidRDefault="00AD1F13" w:rsidP="00D7316D">
      <w:pPr>
        <w:spacing w:after="60" w:line="240" w:lineRule="auto"/>
        <w:rPr>
          <w:rFonts w:cs="Arial"/>
          <w:spacing w:val="-2"/>
        </w:rPr>
      </w:pPr>
      <w:r w:rsidRPr="00D7316D">
        <w:rPr>
          <w:rFonts w:cs="Arial"/>
          <w:spacing w:val="-2"/>
        </w:rPr>
        <w:lastRenderedPageBreak/>
        <w:t xml:space="preserve">BRASIL. Ministério da Agricultura e do Abastecimento. Secretaria de Defesa Agropecuária. Portaria Nº 210, de 10 de novembro de 1998. </w:t>
      </w:r>
      <w:r w:rsidRPr="00D7316D">
        <w:rPr>
          <w:rFonts w:cs="Arial"/>
          <w:b/>
          <w:spacing w:val="-2"/>
        </w:rPr>
        <w:t>Regulamento Técnico da Inspeção Tecnológica e Higiênico-Sanitária de Carne de Aves</w:t>
      </w:r>
      <w:r w:rsidRPr="00D7316D">
        <w:rPr>
          <w:rFonts w:cs="Arial"/>
          <w:spacing w:val="-2"/>
        </w:rPr>
        <w:t>. Brasília, 1998.</w:t>
      </w:r>
    </w:p>
    <w:p w:rsidR="00AD1F13" w:rsidRPr="00D7316D" w:rsidRDefault="00AD1F13" w:rsidP="00D7316D">
      <w:pPr>
        <w:spacing w:after="60" w:line="240" w:lineRule="auto"/>
        <w:rPr>
          <w:rFonts w:cs="Arial"/>
          <w:spacing w:val="-2"/>
        </w:rPr>
      </w:pPr>
      <w:r w:rsidRPr="00D7316D">
        <w:rPr>
          <w:rFonts w:cs="Arial"/>
          <w:spacing w:val="-2"/>
        </w:rPr>
        <w:t xml:space="preserve">BRASIL. Ministério da Agricultura Pecuária e Abastecimento. Secretaria de Defesa Agropecuária. Instrução Normativa n° 20, de 21 de julho de 1999. </w:t>
      </w:r>
      <w:r w:rsidRPr="00D7316D">
        <w:rPr>
          <w:rFonts w:cs="Arial"/>
          <w:b/>
          <w:spacing w:val="-2"/>
        </w:rPr>
        <w:t>Métodos Analíticos Físico-Químicos para Controle de Produtos Cárneos e seus Ingredientes – Sal e Salmoura</w:t>
      </w:r>
      <w:r w:rsidRPr="00D7316D">
        <w:rPr>
          <w:rFonts w:cs="Arial"/>
          <w:spacing w:val="-2"/>
        </w:rPr>
        <w:t>. Brasília, 1999.</w:t>
      </w:r>
    </w:p>
    <w:p w:rsidR="00AD1F13" w:rsidRPr="00D7316D" w:rsidRDefault="00AD1F13" w:rsidP="00D7316D">
      <w:pPr>
        <w:spacing w:after="60" w:line="240" w:lineRule="auto"/>
        <w:rPr>
          <w:rFonts w:cs="Arial"/>
          <w:spacing w:val="-2"/>
        </w:rPr>
      </w:pPr>
      <w:r w:rsidRPr="00D7316D">
        <w:rPr>
          <w:rFonts w:cs="Arial"/>
          <w:spacing w:val="-2"/>
        </w:rPr>
        <w:t xml:space="preserve">CARCIOFI, B.A.M. Estudo do resfriamento de carcaças de frango em </w:t>
      </w:r>
      <w:proofErr w:type="spellStart"/>
      <w:r w:rsidRPr="00D7316D">
        <w:rPr>
          <w:rFonts w:cs="Arial"/>
          <w:spacing w:val="-2"/>
        </w:rPr>
        <w:t>chiller</w:t>
      </w:r>
      <w:proofErr w:type="spellEnd"/>
      <w:r w:rsidRPr="00D7316D">
        <w:rPr>
          <w:rFonts w:cs="Arial"/>
          <w:spacing w:val="-2"/>
        </w:rPr>
        <w:t xml:space="preserve"> de imersão em água. </w:t>
      </w:r>
      <w:r w:rsidRPr="00D7316D">
        <w:rPr>
          <w:rFonts w:cs="Arial"/>
          <w:b/>
          <w:spacing w:val="-2"/>
        </w:rPr>
        <w:t>Dissertação</w:t>
      </w:r>
      <w:r w:rsidRPr="00D7316D">
        <w:rPr>
          <w:rFonts w:cs="Arial"/>
          <w:spacing w:val="-2"/>
        </w:rPr>
        <w:t xml:space="preserve">. </w:t>
      </w:r>
      <w:r w:rsidR="005517DD">
        <w:rPr>
          <w:rFonts w:cs="Arial"/>
          <w:spacing w:val="-2"/>
        </w:rPr>
        <w:t>UFSC</w:t>
      </w:r>
      <w:r w:rsidRPr="00D7316D">
        <w:rPr>
          <w:rFonts w:cs="Arial"/>
          <w:spacing w:val="-2"/>
        </w:rPr>
        <w:t xml:space="preserve">, Florianópolis, março de 2005. </w:t>
      </w:r>
    </w:p>
    <w:p w:rsidR="00AD1F13" w:rsidRPr="00D7316D" w:rsidRDefault="00AD1F13" w:rsidP="00D7316D">
      <w:pPr>
        <w:spacing w:after="60" w:line="240" w:lineRule="auto"/>
        <w:rPr>
          <w:rFonts w:cs="Arial"/>
          <w:spacing w:val="-2"/>
          <w:lang w:val="en-US"/>
        </w:rPr>
      </w:pPr>
      <w:r w:rsidRPr="00D7316D">
        <w:rPr>
          <w:rFonts w:cs="Arial"/>
          <w:spacing w:val="-2"/>
          <w:lang w:val="en-US"/>
        </w:rPr>
        <w:t xml:space="preserve">CARCIOFI, B.A.M.; LAURINDO, J.B. Experimental results and modeling of poultry carcass cooling by water immersion. </w:t>
      </w:r>
      <w:proofErr w:type="spellStart"/>
      <w:r w:rsidRPr="00D7316D">
        <w:rPr>
          <w:rFonts w:cs="Arial"/>
          <w:b/>
          <w:spacing w:val="-2"/>
          <w:lang w:val="en-US"/>
        </w:rPr>
        <w:t>Ciên</w:t>
      </w:r>
      <w:proofErr w:type="spellEnd"/>
      <w:r w:rsidRPr="00D7316D">
        <w:rPr>
          <w:rFonts w:cs="Arial"/>
          <w:b/>
          <w:spacing w:val="-2"/>
          <w:lang w:val="en-US"/>
        </w:rPr>
        <w:t xml:space="preserve"> </w:t>
      </w:r>
      <w:proofErr w:type="spellStart"/>
      <w:r w:rsidRPr="00D7316D">
        <w:rPr>
          <w:rFonts w:cs="Arial"/>
          <w:b/>
          <w:spacing w:val="-2"/>
          <w:lang w:val="en-US"/>
        </w:rPr>
        <w:t>Tecnol</w:t>
      </w:r>
      <w:proofErr w:type="spellEnd"/>
      <w:r w:rsidRPr="00D7316D">
        <w:rPr>
          <w:rFonts w:cs="Arial"/>
          <w:b/>
          <w:spacing w:val="-2"/>
          <w:lang w:val="en-US"/>
        </w:rPr>
        <w:t xml:space="preserve"> Aliment</w:t>
      </w:r>
      <w:r w:rsidRPr="00D7316D">
        <w:rPr>
          <w:rFonts w:cs="Arial"/>
          <w:spacing w:val="-2"/>
          <w:lang w:val="en-US"/>
        </w:rPr>
        <w:t>, 30 (2), 447 – 453, 2010.</w:t>
      </w:r>
    </w:p>
    <w:p w:rsidR="00AD1F13" w:rsidRPr="00D7316D" w:rsidRDefault="00AD1F13" w:rsidP="00D7316D">
      <w:pPr>
        <w:spacing w:after="60" w:line="240" w:lineRule="auto"/>
        <w:rPr>
          <w:rFonts w:cs="Arial"/>
          <w:spacing w:val="-2"/>
          <w:lang w:val="en-US"/>
        </w:rPr>
      </w:pPr>
      <w:r w:rsidRPr="00D7316D">
        <w:rPr>
          <w:rFonts w:cs="Arial"/>
          <w:spacing w:val="-2"/>
          <w:lang w:val="en-US"/>
        </w:rPr>
        <w:t xml:space="preserve">CARCIOFI, B.A.M.; LAURINDO, J.B. Water uptake by poultry carcasses during cooling by water immersion. </w:t>
      </w:r>
      <w:r w:rsidRPr="00D7316D">
        <w:rPr>
          <w:rFonts w:cs="Arial"/>
          <w:b/>
          <w:spacing w:val="-2"/>
          <w:lang w:val="en-US"/>
        </w:rPr>
        <w:t>Chemical Engineering and Processing</w:t>
      </w:r>
      <w:r w:rsidRPr="00D7316D">
        <w:rPr>
          <w:rFonts w:cs="Arial"/>
          <w:spacing w:val="-2"/>
          <w:lang w:val="en-US"/>
        </w:rPr>
        <w:t>, 46, p. 444–450, 2007.</w:t>
      </w:r>
    </w:p>
    <w:p w:rsidR="00AD1F13" w:rsidRPr="00D7316D" w:rsidRDefault="00AD1F13" w:rsidP="00D7316D">
      <w:pPr>
        <w:spacing w:after="60" w:line="240" w:lineRule="auto"/>
        <w:rPr>
          <w:rFonts w:cs="Arial"/>
          <w:spacing w:val="-2"/>
        </w:rPr>
      </w:pPr>
      <w:r w:rsidRPr="00D7316D">
        <w:rPr>
          <w:rFonts w:cs="Arial"/>
          <w:spacing w:val="-2"/>
        </w:rPr>
        <w:t xml:space="preserve">CAVANHA FILHO, A.O. </w:t>
      </w:r>
      <w:r w:rsidRPr="00D7316D">
        <w:rPr>
          <w:rFonts w:cs="Arial"/>
          <w:b/>
          <w:spacing w:val="-2"/>
        </w:rPr>
        <w:t>Estratégia de Compras</w:t>
      </w:r>
      <w:r w:rsidRPr="00D7316D">
        <w:rPr>
          <w:rFonts w:cs="Arial"/>
          <w:spacing w:val="-2"/>
        </w:rPr>
        <w:t>. Rio de Janeiro: Editora Ciência Moderna, 2006.</w:t>
      </w:r>
    </w:p>
    <w:p w:rsidR="00AD1F13" w:rsidRPr="00D7316D" w:rsidRDefault="00AD1F13" w:rsidP="00D7316D">
      <w:pPr>
        <w:spacing w:after="60" w:line="240" w:lineRule="auto"/>
        <w:rPr>
          <w:rFonts w:cs="Arial"/>
          <w:spacing w:val="-2"/>
          <w:lang w:val="en-US"/>
        </w:rPr>
      </w:pPr>
      <w:r w:rsidRPr="00D7316D">
        <w:rPr>
          <w:rFonts w:cs="Arial"/>
          <w:spacing w:val="-2"/>
        </w:rPr>
        <w:t xml:space="preserve">GONÇALEZ, P.U.; WERNER, L. Comparação dos índices de capacidade do processo para distribuições não-normais. </w:t>
      </w:r>
      <w:proofErr w:type="spellStart"/>
      <w:r w:rsidRPr="00D7316D">
        <w:rPr>
          <w:rFonts w:cs="Arial"/>
          <w:b/>
          <w:spacing w:val="-2"/>
          <w:lang w:val="en-US"/>
        </w:rPr>
        <w:t>Gestão</w:t>
      </w:r>
      <w:proofErr w:type="spellEnd"/>
      <w:r w:rsidRPr="00D7316D">
        <w:rPr>
          <w:rFonts w:cs="Arial"/>
          <w:b/>
          <w:spacing w:val="-2"/>
          <w:lang w:val="en-US"/>
        </w:rPr>
        <w:t xml:space="preserve"> &amp; </w:t>
      </w:r>
      <w:proofErr w:type="spellStart"/>
      <w:r w:rsidRPr="00D7316D">
        <w:rPr>
          <w:rFonts w:cs="Arial"/>
          <w:b/>
          <w:spacing w:val="-2"/>
          <w:lang w:val="en-US"/>
        </w:rPr>
        <w:t>Produção</w:t>
      </w:r>
      <w:proofErr w:type="spellEnd"/>
      <w:r w:rsidRPr="00D7316D">
        <w:rPr>
          <w:rFonts w:cs="Arial"/>
          <w:spacing w:val="-2"/>
          <w:lang w:val="en-US"/>
        </w:rPr>
        <w:t>, 16(1), p. 121-132, 2009.</w:t>
      </w:r>
    </w:p>
    <w:p w:rsidR="00AD1F13" w:rsidRPr="00D7316D" w:rsidRDefault="00AD1F13" w:rsidP="00D7316D">
      <w:pPr>
        <w:spacing w:after="60" w:line="240" w:lineRule="auto"/>
        <w:rPr>
          <w:rFonts w:cs="Arial"/>
          <w:spacing w:val="-2"/>
        </w:rPr>
      </w:pPr>
      <w:r w:rsidRPr="00D7316D">
        <w:rPr>
          <w:rFonts w:cs="Arial"/>
          <w:spacing w:val="-2"/>
          <w:lang w:val="en-US"/>
        </w:rPr>
        <w:t xml:space="preserve">KATZ, M.; DAWSON, L.E. Water </w:t>
      </w:r>
      <w:proofErr w:type="spellStart"/>
      <w:r w:rsidRPr="00D7316D">
        <w:rPr>
          <w:rFonts w:cs="Arial"/>
          <w:spacing w:val="-2"/>
          <w:lang w:val="en-US"/>
        </w:rPr>
        <w:t>absortion</w:t>
      </w:r>
      <w:proofErr w:type="spellEnd"/>
      <w:r w:rsidRPr="00D7316D">
        <w:rPr>
          <w:rFonts w:cs="Arial"/>
          <w:spacing w:val="-2"/>
          <w:lang w:val="en-US"/>
        </w:rPr>
        <w:t xml:space="preserve"> and retention by cut up broiler parts chilled in polyphosphate solutions. </w:t>
      </w:r>
      <w:proofErr w:type="spellStart"/>
      <w:r w:rsidRPr="00D7316D">
        <w:rPr>
          <w:rFonts w:cs="Arial"/>
          <w:b/>
          <w:spacing w:val="-2"/>
        </w:rPr>
        <w:t>Poultry</w:t>
      </w:r>
      <w:proofErr w:type="spellEnd"/>
      <w:r w:rsidRPr="00D7316D">
        <w:rPr>
          <w:rFonts w:cs="Arial"/>
          <w:b/>
          <w:spacing w:val="-2"/>
        </w:rPr>
        <w:t xml:space="preserve"> Science</w:t>
      </w:r>
      <w:r w:rsidRPr="00D7316D">
        <w:rPr>
          <w:rFonts w:cs="Arial"/>
          <w:spacing w:val="-2"/>
        </w:rPr>
        <w:t>, 43, 1541-1546, 1964.</w:t>
      </w:r>
    </w:p>
    <w:p w:rsidR="00AD1F13" w:rsidRPr="00D7316D" w:rsidRDefault="00AD1F13" w:rsidP="00D7316D">
      <w:pPr>
        <w:spacing w:after="60" w:line="240" w:lineRule="auto"/>
        <w:rPr>
          <w:rFonts w:cs="Arial"/>
          <w:spacing w:val="-2"/>
          <w:lang w:val="en-US"/>
        </w:rPr>
      </w:pPr>
      <w:r w:rsidRPr="00D7316D">
        <w:rPr>
          <w:rFonts w:cs="Arial"/>
          <w:spacing w:val="-2"/>
          <w:lang w:val="en-US"/>
        </w:rPr>
        <w:t xml:space="preserve">LUCAS, T.; RAOULT-WACK. A. L. Immersion chilling and freezing in aqueous refrigerating media: review and future trends. </w:t>
      </w:r>
      <w:r w:rsidRPr="00D7316D">
        <w:rPr>
          <w:rFonts w:cs="Arial"/>
          <w:b/>
          <w:spacing w:val="-2"/>
          <w:lang w:val="en-US"/>
        </w:rPr>
        <w:t>International Journal of Refrigeration</w:t>
      </w:r>
      <w:r w:rsidRPr="00D7316D">
        <w:rPr>
          <w:rFonts w:cs="Arial"/>
          <w:spacing w:val="-2"/>
          <w:lang w:val="en-US"/>
        </w:rPr>
        <w:t>, 21(6), 419-429, 1998.</w:t>
      </w:r>
    </w:p>
    <w:p w:rsidR="00AD1F13" w:rsidRPr="00D7316D" w:rsidRDefault="00AD1F13" w:rsidP="00D7316D">
      <w:pPr>
        <w:spacing w:after="60" w:line="240" w:lineRule="auto"/>
        <w:rPr>
          <w:rFonts w:cs="Arial"/>
          <w:spacing w:val="-2"/>
          <w:lang w:val="en-US"/>
        </w:rPr>
      </w:pPr>
      <w:r w:rsidRPr="00D7316D">
        <w:rPr>
          <w:rFonts w:cs="Arial"/>
          <w:spacing w:val="-2"/>
          <w:lang w:val="en-US"/>
        </w:rPr>
        <w:t xml:space="preserve">MONTGOMERY, D.C. </w:t>
      </w:r>
      <w:r w:rsidRPr="00D7316D">
        <w:rPr>
          <w:rFonts w:cs="Arial"/>
          <w:b/>
          <w:spacing w:val="-2"/>
          <w:lang w:val="en-US"/>
        </w:rPr>
        <w:t>Introduction to statistical quality control</w:t>
      </w:r>
      <w:r w:rsidRPr="00D7316D">
        <w:rPr>
          <w:rFonts w:cs="Arial"/>
          <w:spacing w:val="-2"/>
          <w:lang w:val="en-US"/>
        </w:rPr>
        <w:t>. 6 ed. New York: John Wiley &amp; Sons, 2009.</w:t>
      </w:r>
    </w:p>
    <w:p w:rsidR="00AD1F13" w:rsidRPr="00D7316D" w:rsidRDefault="00AD1F13" w:rsidP="00D7316D">
      <w:pPr>
        <w:spacing w:after="60" w:line="240" w:lineRule="auto"/>
        <w:rPr>
          <w:rFonts w:cs="Arial"/>
          <w:spacing w:val="-2"/>
        </w:rPr>
      </w:pPr>
      <w:r w:rsidRPr="00D7316D">
        <w:rPr>
          <w:rFonts w:cs="Arial"/>
          <w:spacing w:val="-2"/>
        </w:rPr>
        <w:t xml:space="preserve">OBDAM, J. </w:t>
      </w:r>
      <w:r w:rsidRPr="00D7316D">
        <w:rPr>
          <w:rFonts w:cs="Arial"/>
          <w:b/>
          <w:spacing w:val="-2"/>
        </w:rPr>
        <w:t>Resfriamento de carcaças de aves em ar ou água – Implicações microbiológicas e de qualidade da carne</w:t>
      </w:r>
      <w:r w:rsidRPr="00D7316D">
        <w:rPr>
          <w:rFonts w:cs="Arial"/>
          <w:spacing w:val="-2"/>
        </w:rPr>
        <w:t>, 2005.  &lt; http://www.ital.sp.gov</w:t>
      </w:r>
      <w:r w:rsidR="005517DD">
        <w:rPr>
          <w:rFonts w:cs="Arial"/>
          <w:spacing w:val="-2"/>
        </w:rPr>
        <w:t xml:space="preserve"> </w:t>
      </w:r>
      <w:r w:rsidRPr="00D7316D">
        <w:rPr>
          <w:rFonts w:cs="Arial"/>
          <w:spacing w:val="-2"/>
        </w:rPr>
        <w:t>.</w:t>
      </w:r>
      <w:proofErr w:type="spellStart"/>
      <w:r w:rsidRPr="00D7316D">
        <w:rPr>
          <w:rFonts w:cs="Arial"/>
          <w:spacing w:val="-2"/>
        </w:rPr>
        <w:t>br</w:t>
      </w:r>
      <w:proofErr w:type="spellEnd"/>
      <w:r w:rsidRPr="00D7316D">
        <w:rPr>
          <w:rFonts w:cs="Arial"/>
          <w:spacing w:val="-2"/>
        </w:rPr>
        <w:t>/</w:t>
      </w:r>
      <w:proofErr w:type="spellStart"/>
      <w:r w:rsidRPr="00D7316D">
        <w:rPr>
          <w:rFonts w:cs="Arial"/>
          <w:spacing w:val="-2"/>
        </w:rPr>
        <w:t>ctc</w:t>
      </w:r>
      <w:proofErr w:type="spellEnd"/>
      <w:r w:rsidRPr="00D7316D">
        <w:rPr>
          <w:rFonts w:cs="Arial"/>
          <w:spacing w:val="-2"/>
        </w:rPr>
        <w:t>/eventos/</w:t>
      </w:r>
      <w:proofErr w:type="spellStart"/>
      <w:r w:rsidRPr="00D7316D">
        <w:rPr>
          <w:rFonts w:cs="Arial"/>
          <w:spacing w:val="-2"/>
        </w:rPr>
        <w:t>terceiro_congresso</w:t>
      </w:r>
      <w:proofErr w:type="spellEnd"/>
      <w:r w:rsidRPr="00D7316D">
        <w:rPr>
          <w:rFonts w:cs="Arial"/>
          <w:spacing w:val="-2"/>
        </w:rPr>
        <w:t>/3.doc&gt;. Acesso</w:t>
      </w:r>
      <w:r w:rsidR="00795853" w:rsidRPr="00D7316D">
        <w:rPr>
          <w:rFonts w:cs="Arial"/>
          <w:spacing w:val="-2"/>
        </w:rPr>
        <w:t xml:space="preserve"> </w:t>
      </w:r>
      <w:r w:rsidRPr="00D7316D">
        <w:rPr>
          <w:rFonts w:cs="Arial"/>
          <w:spacing w:val="-2"/>
        </w:rPr>
        <w:t>em 12</w:t>
      </w:r>
      <w:r w:rsidR="005517DD">
        <w:rPr>
          <w:rFonts w:cs="Arial"/>
          <w:spacing w:val="-2"/>
        </w:rPr>
        <w:t>/04/</w:t>
      </w:r>
      <w:r w:rsidRPr="00D7316D">
        <w:rPr>
          <w:rFonts w:cs="Arial"/>
          <w:spacing w:val="-2"/>
        </w:rPr>
        <w:t xml:space="preserve"> 2014.</w:t>
      </w:r>
    </w:p>
    <w:p w:rsidR="00AD1F13" w:rsidRPr="00D7316D" w:rsidRDefault="00AD1F13" w:rsidP="00D7316D">
      <w:pPr>
        <w:spacing w:after="60" w:line="240" w:lineRule="auto"/>
        <w:rPr>
          <w:rFonts w:cs="Arial"/>
          <w:spacing w:val="-2"/>
        </w:rPr>
      </w:pPr>
      <w:r w:rsidRPr="00D7316D">
        <w:rPr>
          <w:rFonts w:cs="Arial"/>
          <w:spacing w:val="-2"/>
        </w:rPr>
        <w:t xml:space="preserve">OLIVEIRA, J.B.; SOUTO, R.R.; MAIA, R.D.A.; MEIRA, J.A.; LIMA, V.S.P. </w:t>
      </w:r>
      <w:r w:rsidRPr="00D7316D">
        <w:rPr>
          <w:rFonts w:cs="Arial"/>
          <w:b/>
          <w:spacing w:val="-2"/>
        </w:rPr>
        <w:t xml:space="preserve">Análise da capacidade de um processo: um estudo de caso baseado nos indicadores </w:t>
      </w:r>
      <w:proofErr w:type="spellStart"/>
      <w:r w:rsidRPr="00D7316D">
        <w:rPr>
          <w:rFonts w:cs="Arial"/>
          <w:b/>
          <w:spacing w:val="-2"/>
        </w:rPr>
        <w:t>cp</w:t>
      </w:r>
      <w:proofErr w:type="spellEnd"/>
      <w:r w:rsidRPr="00D7316D">
        <w:rPr>
          <w:rFonts w:cs="Arial"/>
          <w:b/>
          <w:spacing w:val="-2"/>
        </w:rPr>
        <w:t xml:space="preserve"> e </w:t>
      </w:r>
      <w:proofErr w:type="spellStart"/>
      <w:r w:rsidRPr="00D7316D">
        <w:rPr>
          <w:rFonts w:cs="Arial"/>
          <w:b/>
          <w:spacing w:val="-2"/>
        </w:rPr>
        <w:t>cpk</w:t>
      </w:r>
      <w:proofErr w:type="spellEnd"/>
      <w:r w:rsidRPr="00D7316D">
        <w:rPr>
          <w:rFonts w:cs="Arial"/>
          <w:spacing w:val="-2"/>
        </w:rPr>
        <w:t>. Inovação Tecnológica e Propriedade Intelectual: Desafios da Engenharia de Produção na Consolidação do Brasil no Cenário Econômico Mundial, Belo Horizonte, MG, Brasil, 2011.</w:t>
      </w:r>
    </w:p>
    <w:p w:rsidR="00AD1F13" w:rsidRPr="00D7316D" w:rsidRDefault="00AD1F13" w:rsidP="00D7316D">
      <w:pPr>
        <w:spacing w:after="60" w:line="240" w:lineRule="auto"/>
        <w:rPr>
          <w:rFonts w:cs="Arial"/>
          <w:spacing w:val="-2"/>
        </w:rPr>
      </w:pPr>
      <w:r w:rsidRPr="00D7316D">
        <w:rPr>
          <w:rFonts w:cs="Arial"/>
          <w:spacing w:val="-2"/>
          <w:lang w:val="en-US"/>
        </w:rPr>
        <w:t xml:space="preserve">POLO-REDONDO Y.; CAMBRA-FIERRO J. Influence of the standardization of a firm’s productive process on the long-term orientation of its supply relationships: An empirical study. </w:t>
      </w:r>
      <w:r w:rsidRPr="00D7316D">
        <w:rPr>
          <w:rFonts w:cs="Arial"/>
          <w:b/>
          <w:spacing w:val="-2"/>
        </w:rPr>
        <w:t>Industrial Marketing Management</w:t>
      </w:r>
      <w:r w:rsidRPr="00D7316D">
        <w:rPr>
          <w:rFonts w:cs="Arial"/>
          <w:spacing w:val="-2"/>
        </w:rPr>
        <w:t xml:space="preserve">, 37(4), 407-420, 2008. </w:t>
      </w:r>
    </w:p>
    <w:p w:rsidR="00AD1F13" w:rsidRPr="00D7316D" w:rsidRDefault="00AD1F13" w:rsidP="00D7316D">
      <w:pPr>
        <w:spacing w:after="60" w:line="240" w:lineRule="auto"/>
        <w:rPr>
          <w:rFonts w:cs="Arial"/>
          <w:spacing w:val="-2"/>
        </w:rPr>
      </w:pPr>
      <w:r w:rsidRPr="00D7316D">
        <w:rPr>
          <w:rFonts w:cs="Arial"/>
          <w:spacing w:val="-2"/>
        </w:rPr>
        <w:t xml:space="preserve">SANTOS, A.B., ANTONELLI, S.C. Aplicação da abordagem estatística no contexto da gestão da qualidade: um </w:t>
      </w:r>
      <w:proofErr w:type="spellStart"/>
      <w:r w:rsidRPr="00D7316D">
        <w:rPr>
          <w:rFonts w:cs="Arial"/>
          <w:spacing w:val="-2"/>
        </w:rPr>
        <w:t>survey</w:t>
      </w:r>
      <w:proofErr w:type="spellEnd"/>
      <w:r w:rsidRPr="00D7316D">
        <w:rPr>
          <w:rFonts w:cs="Arial"/>
          <w:spacing w:val="-2"/>
        </w:rPr>
        <w:t xml:space="preserve"> com indústrias de alimentos de São Paulo.  </w:t>
      </w:r>
      <w:r w:rsidRPr="00D7316D">
        <w:rPr>
          <w:rFonts w:cs="Arial"/>
          <w:b/>
          <w:spacing w:val="-2"/>
        </w:rPr>
        <w:t>Gestão &amp; Produção</w:t>
      </w:r>
      <w:r w:rsidRPr="00D7316D">
        <w:rPr>
          <w:rFonts w:cs="Arial"/>
          <w:spacing w:val="-2"/>
        </w:rPr>
        <w:t>, 18(3), 509-524, 2011.</w:t>
      </w:r>
    </w:p>
    <w:p w:rsidR="00AD1F13" w:rsidRPr="00D7316D" w:rsidRDefault="00AD1F13" w:rsidP="00D7316D">
      <w:pPr>
        <w:spacing w:after="60" w:line="240" w:lineRule="auto"/>
        <w:rPr>
          <w:rFonts w:cs="Arial"/>
          <w:spacing w:val="-2"/>
          <w:lang w:val="en-US"/>
        </w:rPr>
      </w:pPr>
      <w:r w:rsidRPr="00D7316D">
        <w:rPr>
          <w:rFonts w:cs="Arial"/>
          <w:spacing w:val="-2"/>
          <w:lang w:val="en-US"/>
        </w:rPr>
        <w:t xml:space="preserve">SAVELL, J. W.; MUELLER, S. L.; BAIRD, B. E. The chilling of carcasses. </w:t>
      </w:r>
      <w:r w:rsidRPr="00D7316D">
        <w:rPr>
          <w:rFonts w:cs="Arial"/>
          <w:b/>
          <w:spacing w:val="-2"/>
          <w:lang w:val="en-US"/>
        </w:rPr>
        <w:t>Meat Science</w:t>
      </w:r>
      <w:r w:rsidRPr="00D7316D">
        <w:rPr>
          <w:rFonts w:cs="Arial"/>
          <w:spacing w:val="-2"/>
          <w:lang w:val="en-US"/>
        </w:rPr>
        <w:t>, 70, 449 – 459, 2005.</w:t>
      </w:r>
    </w:p>
    <w:p w:rsidR="00AD1F13" w:rsidRDefault="00AD1F13" w:rsidP="00D7316D">
      <w:pPr>
        <w:spacing w:after="60" w:line="240" w:lineRule="auto"/>
        <w:rPr>
          <w:rFonts w:cs="Arial"/>
          <w:spacing w:val="-2"/>
          <w:lang w:val="en-US"/>
        </w:rPr>
      </w:pPr>
      <w:r w:rsidRPr="00D7316D">
        <w:rPr>
          <w:rFonts w:cs="Arial"/>
          <w:spacing w:val="-2"/>
          <w:lang w:val="en-US"/>
        </w:rPr>
        <w:t xml:space="preserve">YOUNG, L.L., SMITH, D.P. Moisture retention by water- and air-chilled chicken broilers during processing and cutup operations. </w:t>
      </w:r>
      <w:r w:rsidRPr="00D7316D">
        <w:rPr>
          <w:rFonts w:cs="Arial"/>
          <w:b/>
          <w:spacing w:val="-2"/>
          <w:lang w:val="en-US"/>
        </w:rPr>
        <w:t>Poultry Science</w:t>
      </w:r>
      <w:r w:rsidRPr="00D7316D">
        <w:rPr>
          <w:rFonts w:cs="Arial"/>
          <w:spacing w:val="-2"/>
          <w:lang w:val="en-US"/>
        </w:rPr>
        <w:t>, 83, 119–122, 2004.</w:t>
      </w:r>
    </w:p>
    <w:p w:rsidR="005517DD" w:rsidRDefault="005517DD" w:rsidP="005517DD">
      <w:pPr>
        <w:pStyle w:val="SectionHeader"/>
        <w:numPr>
          <w:ilvl w:val="0"/>
          <w:numId w:val="0"/>
        </w:numPr>
        <w:rPr>
          <w:rFonts w:ascii="Arial" w:hAnsi="Arial" w:cs="Arial"/>
          <w:caps w:val="0"/>
          <w:sz w:val="24"/>
          <w:szCs w:val="24"/>
          <w:lang w:val="pt-BR"/>
        </w:rPr>
      </w:pPr>
    </w:p>
    <w:p w:rsidR="005517DD" w:rsidRPr="009178F7" w:rsidRDefault="005517DD" w:rsidP="005517DD">
      <w:pPr>
        <w:pStyle w:val="SectionHeader"/>
        <w:numPr>
          <w:ilvl w:val="0"/>
          <w:numId w:val="0"/>
        </w:numPr>
        <w:rPr>
          <w:rFonts w:ascii="Arial" w:hAnsi="Arial" w:cs="Arial"/>
          <w:sz w:val="24"/>
          <w:szCs w:val="24"/>
          <w:lang w:val="pt-BR"/>
        </w:rPr>
      </w:pPr>
      <w:r w:rsidRPr="009178F7">
        <w:rPr>
          <w:rFonts w:ascii="Arial" w:hAnsi="Arial" w:cs="Arial"/>
          <w:caps w:val="0"/>
          <w:sz w:val="24"/>
          <w:szCs w:val="24"/>
          <w:lang w:val="pt-BR"/>
        </w:rPr>
        <w:t>Agradecimentos</w:t>
      </w:r>
    </w:p>
    <w:p w:rsidR="005517DD" w:rsidRPr="005517DD" w:rsidRDefault="005517DD" w:rsidP="005517DD">
      <w:pPr>
        <w:pStyle w:val="SectionBody"/>
        <w:ind w:firstLine="284"/>
        <w:rPr>
          <w:rFonts w:cs="Arial"/>
          <w:spacing w:val="-2"/>
          <w:lang w:val="pt-BR"/>
        </w:rPr>
      </w:pPr>
      <w:r w:rsidRPr="009178F7">
        <w:rPr>
          <w:rFonts w:ascii="Arial" w:hAnsi="Arial" w:cs="Arial"/>
          <w:sz w:val="24"/>
          <w:szCs w:val="24"/>
          <w:lang w:val="pt-BR"/>
        </w:rPr>
        <w:t>Os autores agradecem ao CNPq, CAPES, FAPERGS e URI pelo apoio financeiro.</w:t>
      </w:r>
    </w:p>
    <w:sectPr w:rsidR="005517DD" w:rsidRPr="005517DD" w:rsidSect="00762353">
      <w:head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6E9" w:rsidRDefault="00D436E9" w:rsidP="001125C8">
      <w:pPr>
        <w:spacing w:line="240" w:lineRule="auto"/>
      </w:pPr>
      <w:r>
        <w:separator/>
      </w:r>
    </w:p>
  </w:endnote>
  <w:endnote w:type="continuationSeparator" w:id="0">
    <w:p w:rsidR="00D436E9" w:rsidRDefault="00D436E9" w:rsidP="00112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6E9" w:rsidRDefault="00D436E9" w:rsidP="001125C8">
      <w:pPr>
        <w:spacing w:line="240" w:lineRule="auto"/>
      </w:pPr>
      <w:r>
        <w:separator/>
      </w:r>
    </w:p>
  </w:footnote>
  <w:footnote w:type="continuationSeparator" w:id="0">
    <w:p w:rsidR="00D436E9" w:rsidRDefault="00D436E9" w:rsidP="00112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FF" w:rsidRDefault="002752FF">
    <w:pPr>
      <w:pStyle w:val="Cabealho"/>
    </w:pPr>
    <w:r>
      <w:rPr>
        <w:noProof/>
      </w:rPr>
      <w:drawing>
        <wp:inline distT="0" distB="0" distL="0" distR="0">
          <wp:extent cx="5760085" cy="4597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_2.png"/>
                  <pic:cNvPicPr/>
                </pic:nvPicPr>
                <pic:blipFill>
                  <a:blip r:embed="rId1">
                    <a:extLst>
                      <a:ext uri="{28A0092B-C50C-407E-A947-70E740481C1C}">
                        <a14:useLocalDpi xmlns:a14="http://schemas.microsoft.com/office/drawing/2010/main" val="0"/>
                      </a:ext>
                    </a:extLst>
                  </a:blip>
                  <a:stretch>
                    <a:fillRect/>
                  </a:stretch>
                </pic:blipFill>
                <pic:spPr>
                  <a:xfrm>
                    <a:off x="0" y="0"/>
                    <a:ext cx="5760085" cy="459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C50"/>
    <w:multiLevelType w:val="hybridMultilevel"/>
    <w:tmpl w:val="37F41C88"/>
    <w:lvl w:ilvl="0" w:tplc="FAB8E984">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775E3F"/>
    <w:multiLevelType w:val="multilevel"/>
    <w:tmpl w:val="B0C05F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1A526A3A"/>
    <w:multiLevelType w:val="hybridMultilevel"/>
    <w:tmpl w:val="25128D0A"/>
    <w:lvl w:ilvl="0" w:tplc="C47EC530">
      <w:start w:val="2"/>
      <w:numFmt w:val="decimal"/>
      <w:lvlText w:val="%1.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15:restartNumberingAfterBreak="0">
    <w:nsid w:val="48DD0324"/>
    <w:multiLevelType w:val="hybridMultilevel"/>
    <w:tmpl w:val="6592F68E"/>
    <w:lvl w:ilvl="0" w:tplc="BBB0E7F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E142BB"/>
    <w:multiLevelType w:val="multilevel"/>
    <w:tmpl w:val="4F306AF0"/>
    <w:lvl w:ilvl="0">
      <w:start w:val="1"/>
      <w:numFmt w:val="decimal"/>
      <w:pStyle w:val="SectionHeader"/>
      <w:lvlText w:val="%1."/>
      <w:lvlJc w:val="left"/>
      <w:pPr>
        <w:ind w:left="360" w:hanging="360"/>
      </w:pPr>
    </w:lvl>
    <w:lvl w:ilvl="1">
      <w:start w:val="1"/>
      <w:numFmt w:val="decimal"/>
      <w:pStyle w:val="Sectionsubheader"/>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4"/>
    <w:rsid w:val="00041844"/>
    <w:rsid w:val="000A14C3"/>
    <w:rsid w:val="000B14EF"/>
    <w:rsid w:val="000C69B8"/>
    <w:rsid w:val="001110C9"/>
    <w:rsid w:val="001125C8"/>
    <w:rsid w:val="00202D5F"/>
    <w:rsid w:val="0020523B"/>
    <w:rsid w:val="00223821"/>
    <w:rsid w:val="002752FF"/>
    <w:rsid w:val="002E0FA4"/>
    <w:rsid w:val="00330EDF"/>
    <w:rsid w:val="00354D07"/>
    <w:rsid w:val="00360B8F"/>
    <w:rsid w:val="003B77C7"/>
    <w:rsid w:val="003C075F"/>
    <w:rsid w:val="003C58EA"/>
    <w:rsid w:val="00435937"/>
    <w:rsid w:val="00445E77"/>
    <w:rsid w:val="00451E66"/>
    <w:rsid w:val="004F28E6"/>
    <w:rsid w:val="004F7434"/>
    <w:rsid w:val="005126DF"/>
    <w:rsid w:val="00516E89"/>
    <w:rsid w:val="005517DD"/>
    <w:rsid w:val="00567F4E"/>
    <w:rsid w:val="0058030D"/>
    <w:rsid w:val="005C6700"/>
    <w:rsid w:val="00636A80"/>
    <w:rsid w:val="0065657F"/>
    <w:rsid w:val="00670704"/>
    <w:rsid w:val="00696EC1"/>
    <w:rsid w:val="00723563"/>
    <w:rsid w:val="00762353"/>
    <w:rsid w:val="007907E5"/>
    <w:rsid w:val="00795853"/>
    <w:rsid w:val="007F1152"/>
    <w:rsid w:val="00821006"/>
    <w:rsid w:val="008260F0"/>
    <w:rsid w:val="00850EBC"/>
    <w:rsid w:val="0087089D"/>
    <w:rsid w:val="00894995"/>
    <w:rsid w:val="008A087C"/>
    <w:rsid w:val="008D7935"/>
    <w:rsid w:val="008E6458"/>
    <w:rsid w:val="009004A2"/>
    <w:rsid w:val="00902B93"/>
    <w:rsid w:val="0091269C"/>
    <w:rsid w:val="00914A02"/>
    <w:rsid w:val="009B4D3F"/>
    <w:rsid w:val="009D0AB0"/>
    <w:rsid w:val="009F5660"/>
    <w:rsid w:val="00A255A5"/>
    <w:rsid w:val="00A84179"/>
    <w:rsid w:val="00AA27E6"/>
    <w:rsid w:val="00AB360B"/>
    <w:rsid w:val="00AD1F13"/>
    <w:rsid w:val="00AF37DF"/>
    <w:rsid w:val="00B0208C"/>
    <w:rsid w:val="00B517A2"/>
    <w:rsid w:val="00B9212B"/>
    <w:rsid w:val="00BA3735"/>
    <w:rsid w:val="00BD6F67"/>
    <w:rsid w:val="00C00C4C"/>
    <w:rsid w:val="00C17BF7"/>
    <w:rsid w:val="00C35A15"/>
    <w:rsid w:val="00C54F67"/>
    <w:rsid w:val="00C56C53"/>
    <w:rsid w:val="00CA3B43"/>
    <w:rsid w:val="00CB49C0"/>
    <w:rsid w:val="00CE47F1"/>
    <w:rsid w:val="00D361F7"/>
    <w:rsid w:val="00D436E9"/>
    <w:rsid w:val="00D53566"/>
    <w:rsid w:val="00D64EA7"/>
    <w:rsid w:val="00D7316D"/>
    <w:rsid w:val="00DA56F7"/>
    <w:rsid w:val="00DB5CD1"/>
    <w:rsid w:val="00DC0298"/>
    <w:rsid w:val="00DD35B1"/>
    <w:rsid w:val="00DF1A57"/>
    <w:rsid w:val="00E055B6"/>
    <w:rsid w:val="00E43376"/>
    <w:rsid w:val="00EB639C"/>
    <w:rsid w:val="00ED0967"/>
    <w:rsid w:val="00F03AD3"/>
    <w:rsid w:val="00F36DDD"/>
    <w:rsid w:val="00F813FB"/>
    <w:rsid w:val="00FA69C6"/>
    <w:rsid w:val="00FB15C3"/>
    <w:rsid w:val="00FE299A"/>
    <w:rsid w:val="00FE5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428A"/>
  <w15:chartTrackingRefBased/>
  <w15:docId w15:val="{15D8BEBC-EB4E-4B95-973D-17D26885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874"/>
    <w:pPr>
      <w:spacing w:line="360"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914A02"/>
    <w:pPr>
      <w:keepNext/>
      <w:widowControl w:val="0"/>
      <w:spacing w:before="240" w:after="60"/>
      <w:outlineLvl w:val="0"/>
    </w:pPr>
    <w:rPr>
      <w:rFonts w:eastAsia="Times New Roman"/>
      <w:b/>
      <w:bCs/>
      <w:kern w:val="32"/>
      <w:szCs w:val="32"/>
      <w:lang w:val="en-US"/>
    </w:rPr>
  </w:style>
  <w:style w:type="paragraph" w:styleId="Ttulo2">
    <w:name w:val="heading 2"/>
    <w:basedOn w:val="Normal"/>
    <w:next w:val="Normal"/>
    <w:link w:val="Ttulo2Char"/>
    <w:uiPriority w:val="9"/>
    <w:unhideWhenUsed/>
    <w:qFormat/>
    <w:rsid w:val="00914A02"/>
    <w:pPr>
      <w:keepNext/>
      <w:widowControl w:val="0"/>
      <w:spacing w:before="240" w:after="60"/>
      <w:outlineLvl w:val="1"/>
    </w:pPr>
    <w:rPr>
      <w:rFonts w:eastAsia="Times New Roman"/>
      <w:b/>
      <w:bCs/>
      <w:iCs/>
      <w:szCs w:val="28"/>
      <w:lang w:val="en-US"/>
    </w:rPr>
  </w:style>
  <w:style w:type="paragraph" w:styleId="Ttulo3">
    <w:name w:val="heading 3"/>
    <w:basedOn w:val="Normal"/>
    <w:next w:val="Normal"/>
    <w:link w:val="Ttulo3Char"/>
    <w:qFormat/>
    <w:rsid w:val="00451E66"/>
    <w:pPr>
      <w:keepNext/>
      <w:spacing w:before="240" w:after="60"/>
      <w:outlineLvl w:val="2"/>
    </w:pPr>
    <w:rPr>
      <w:rFonts w:cs="Arial"/>
      <w:b/>
      <w:bCs/>
      <w:szCs w:val="26"/>
    </w:rPr>
  </w:style>
  <w:style w:type="paragraph" w:styleId="Ttulo6">
    <w:name w:val="heading 6"/>
    <w:basedOn w:val="Normal"/>
    <w:next w:val="Normal"/>
    <w:link w:val="Ttulo6Char"/>
    <w:uiPriority w:val="9"/>
    <w:semiHidden/>
    <w:unhideWhenUsed/>
    <w:qFormat/>
    <w:rsid w:val="00821006"/>
    <w:pPr>
      <w:spacing w:before="240" w:after="60"/>
      <w:outlineLvl w:val="5"/>
    </w:pPr>
    <w:rPr>
      <w:rFonts w:ascii="Calibri" w:eastAsia="Times New Roman" w:hAnsi="Calibri"/>
      <w:b/>
      <w:bCs/>
      <w:sz w:val="22"/>
    </w:rPr>
  </w:style>
  <w:style w:type="paragraph" w:styleId="Ttulo7">
    <w:name w:val="heading 7"/>
    <w:basedOn w:val="Normal"/>
    <w:next w:val="Normal"/>
    <w:link w:val="Ttulo7Char"/>
    <w:uiPriority w:val="9"/>
    <w:semiHidden/>
    <w:unhideWhenUsed/>
    <w:qFormat/>
    <w:rsid w:val="00821006"/>
    <w:pPr>
      <w:spacing w:before="240" w:after="60"/>
      <w:outlineLvl w:val="6"/>
    </w:pPr>
    <w:rPr>
      <w:rFonts w:ascii="Calibri" w:eastAsia="Times New Roman" w:hAnsi="Calibri"/>
    </w:rPr>
  </w:style>
  <w:style w:type="paragraph" w:styleId="Ttulo8">
    <w:name w:val="heading 8"/>
    <w:basedOn w:val="Normal"/>
    <w:next w:val="Normal"/>
    <w:link w:val="Ttulo8Char"/>
    <w:uiPriority w:val="9"/>
    <w:qFormat/>
    <w:rsid w:val="003B77C7"/>
    <w:pPr>
      <w:keepNext/>
      <w:keepLines/>
      <w:spacing w:before="200"/>
      <w:outlineLvl w:val="7"/>
    </w:pPr>
    <w:rPr>
      <w:rFonts w:ascii="Cambria" w:eastAsia="Times New Roman" w:hAnsi="Cambria"/>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14A02"/>
    <w:rPr>
      <w:rFonts w:ascii="Times New Roman" w:eastAsia="Times New Roman" w:hAnsi="Times New Roman" w:cs="Times New Roman"/>
      <w:b/>
      <w:bCs/>
      <w:kern w:val="32"/>
      <w:sz w:val="24"/>
      <w:szCs w:val="32"/>
      <w:lang w:val="en-US" w:eastAsia="en-US"/>
    </w:rPr>
  </w:style>
  <w:style w:type="character" w:customStyle="1" w:styleId="Ttulo2Char">
    <w:name w:val="Título 2 Char"/>
    <w:link w:val="Ttulo2"/>
    <w:uiPriority w:val="9"/>
    <w:rsid w:val="00914A02"/>
    <w:rPr>
      <w:rFonts w:ascii="Times New Roman" w:eastAsia="Times New Roman" w:hAnsi="Times New Roman" w:cs="Times New Roman"/>
      <w:b/>
      <w:bCs/>
      <w:iCs/>
      <w:sz w:val="24"/>
      <w:szCs w:val="28"/>
      <w:lang w:val="en-US" w:eastAsia="en-US"/>
    </w:rPr>
  </w:style>
  <w:style w:type="character" w:customStyle="1" w:styleId="Ttulo6Char">
    <w:name w:val="Título 6 Char"/>
    <w:link w:val="Ttulo6"/>
    <w:uiPriority w:val="9"/>
    <w:semiHidden/>
    <w:rsid w:val="000C69B8"/>
    <w:rPr>
      <w:rFonts w:ascii="Calibri" w:eastAsia="Times New Roman" w:hAnsi="Calibri" w:cs="Times New Roman"/>
      <w:b/>
      <w:bCs/>
      <w:sz w:val="22"/>
      <w:szCs w:val="22"/>
    </w:rPr>
  </w:style>
  <w:style w:type="character" w:customStyle="1" w:styleId="Ttulo7Char">
    <w:name w:val="Título 7 Char"/>
    <w:link w:val="Ttulo7"/>
    <w:uiPriority w:val="9"/>
    <w:semiHidden/>
    <w:rsid w:val="000C69B8"/>
    <w:rPr>
      <w:rFonts w:ascii="Calibri" w:eastAsia="Times New Roman" w:hAnsi="Calibri" w:cs="Times New Roman"/>
      <w:sz w:val="24"/>
      <w:szCs w:val="24"/>
    </w:rPr>
  </w:style>
  <w:style w:type="paragraph" w:styleId="Sumrio1">
    <w:name w:val="toc 1"/>
    <w:basedOn w:val="Normal"/>
    <w:next w:val="Normal"/>
    <w:autoRedefine/>
    <w:uiPriority w:val="39"/>
    <w:unhideWhenUsed/>
    <w:rsid w:val="00914A02"/>
    <w:pPr>
      <w:widowControl w:val="0"/>
      <w:spacing w:after="200"/>
    </w:pPr>
    <w:rPr>
      <w:sz w:val="22"/>
      <w:lang w:val="en-US"/>
    </w:rPr>
  </w:style>
  <w:style w:type="paragraph" w:styleId="Sumrio2">
    <w:name w:val="toc 2"/>
    <w:basedOn w:val="Normal"/>
    <w:next w:val="Normal"/>
    <w:autoRedefine/>
    <w:uiPriority w:val="39"/>
    <w:unhideWhenUsed/>
    <w:qFormat/>
    <w:rsid w:val="003B77C7"/>
    <w:pPr>
      <w:spacing w:after="100"/>
      <w:ind w:left="240"/>
    </w:pPr>
  </w:style>
  <w:style w:type="paragraph" w:styleId="Sumrio3">
    <w:name w:val="toc 3"/>
    <w:basedOn w:val="Normal"/>
    <w:next w:val="Normal"/>
    <w:autoRedefine/>
    <w:uiPriority w:val="39"/>
    <w:unhideWhenUsed/>
    <w:qFormat/>
    <w:rsid w:val="003B77C7"/>
    <w:pPr>
      <w:spacing w:after="100" w:line="276" w:lineRule="auto"/>
      <w:ind w:left="440"/>
    </w:pPr>
    <w:rPr>
      <w:rFonts w:ascii="Calibri" w:hAnsi="Calibri"/>
      <w:sz w:val="22"/>
    </w:rPr>
  </w:style>
  <w:style w:type="paragraph" w:styleId="Ttulo">
    <w:name w:val="Title"/>
    <w:basedOn w:val="Normal"/>
    <w:next w:val="Normal"/>
    <w:link w:val="TtuloChar"/>
    <w:uiPriority w:val="10"/>
    <w:qFormat/>
    <w:rsid w:val="00914A02"/>
    <w:pPr>
      <w:widowControl w:val="0"/>
      <w:spacing w:before="120"/>
      <w:outlineLvl w:val="0"/>
    </w:pPr>
    <w:rPr>
      <w:rFonts w:eastAsia="Times New Roman"/>
      <w:bCs/>
      <w:kern w:val="28"/>
      <w:sz w:val="22"/>
      <w:szCs w:val="32"/>
      <w:lang w:val="en-US"/>
    </w:rPr>
  </w:style>
  <w:style w:type="character" w:customStyle="1" w:styleId="TtuloChar">
    <w:name w:val="Título Char"/>
    <w:link w:val="Ttulo"/>
    <w:uiPriority w:val="10"/>
    <w:rsid w:val="00914A02"/>
    <w:rPr>
      <w:rFonts w:ascii="Times New Roman" w:eastAsia="Times New Roman" w:hAnsi="Times New Roman" w:cs="Times New Roman"/>
      <w:bCs/>
      <w:kern w:val="28"/>
      <w:sz w:val="22"/>
      <w:szCs w:val="32"/>
      <w:lang w:val="en-US" w:eastAsia="en-US"/>
    </w:rPr>
  </w:style>
  <w:style w:type="paragraph" w:styleId="Subttulo">
    <w:name w:val="Subtitle"/>
    <w:basedOn w:val="Normal"/>
    <w:next w:val="Corpodetexto"/>
    <w:link w:val="SubttuloChar"/>
    <w:uiPriority w:val="11"/>
    <w:qFormat/>
    <w:rsid w:val="00821006"/>
    <w:pPr>
      <w:spacing w:after="60"/>
      <w:jc w:val="center"/>
      <w:outlineLvl w:val="1"/>
    </w:pPr>
    <w:rPr>
      <w:rFonts w:ascii="Cambria" w:eastAsia="Times New Roman" w:hAnsi="Cambria"/>
    </w:rPr>
  </w:style>
  <w:style w:type="character" w:customStyle="1" w:styleId="SubttuloChar">
    <w:name w:val="Subtítulo Char"/>
    <w:link w:val="Subttulo"/>
    <w:uiPriority w:val="11"/>
    <w:rsid w:val="000C69B8"/>
    <w:rPr>
      <w:rFonts w:ascii="Cambria" w:eastAsia="Times New Roman" w:hAnsi="Cambria" w:cs="Times New Roman"/>
      <w:sz w:val="24"/>
      <w:szCs w:val="24"/>
    </w:rPr>
  </w:style>
  <w:style w:type="paragraph" w:styleId="Corpodetexto">
    <w:name w:val="Body Text"/>
    <w:basedOn w:val="Normal"/>
    <w:link w:val="CorpodetextoChar"/>
    <w:uiPriority w:val="99"/>
    <w:semiHidden/>
    <w:unhideWhenUsed/>
    <w:rsid w:val="000C69B8"/>
    <w:pPr>
      <w:spacing w:after="120"/>
    </w:pPr>
  </w:style>
  <w:style w:type="character" w:customStyle="1" w:styleId="CorpodetextoChar">
    <w:name w:val="Corpo de texto Char"/>
    <w:link w:val="Corpodetexto"/>
    <w:uiPriority w:val="99"/>
    <w:semiHidden/>
    <w:rsid w:val="000C69B8"/>
    <w:rPr>
      <w:sz w:val="24"/>
      <w:szCs w:val="24"/>
    </w:rPr>
  </w:style>
  <w:style w:type="character" w:styleId="nfase">
    <w:name w:val="Emphasis"/>
    <w:uiPriority w:val="20"/>
    <w:qFormat/>
    <w:rsid w:val="00821006"/>
    <w:rPr>
      <w:i/>
      <w:iCs/>
    </w:rPr>
  </w:style>
  <w:style w:type="paragraph" w:styleId="CabealhodoSumrio">
    <w:name w:val="TOC Heading"/>
    <w:basedOn w:val="Ttulo1"/>
    <w:next w:val="Normal"/>
    <w:uiPriority w:val="39"/>
    <w:qFormat/>
    <w:rsid w:val="003B77C7"/>
    <w:pPr>
      <w:outlineLvl w:val="9"/>
    </w:pPr>
    <w:rPr>
      <w:rFonts w:ascii="Cambria" w:hAnsi="Cambria"/>
      <w:color w:val="365F91"/>
    </w:rPr>
  </w:style>
  <w:style w:type="character" w:customStyle="1" w:styleId="Ttulo3Char">
    <w:name w:val="Título 3 Char"/>
    <w:link w:val="Ttulo3"/>
    <w:rsid w:val="00451E66"/>
    <w:rPr>
      <w:rFonts w:ascii="Times New Roman" w:hAnsi="Times New Roman" w:cs="Arial"/>
      <w:b/>
      <w:bCs/>
      <w:sz w:val="24"/>
      <w:szCs w:val="26"/>
      <w:lang w:eastAsia="en-US"/>
    </w:rPr>
  </w:style>
  <w:style w:type="character" w:customStyle="1" w:styleId="Ttulo8Char">
    <w:name w:val="Título 8 Char"/>
    <w:link w:val="Ttulo8"/>
    <w:uiPriority w:val="9"/>
    <w:rsid w:val="003B77C7"/>
    <w:rPr>
      <w:rFonts w:ascii="Cambria" w:eastAsia="Times New Roman" w:hAnsi="Cambria" w:cs="Times New Roman"/>
      <w:color w:val="404040"/>
      <w:sz w:val="20"/>
      <w:szCs w:val="20"/>
      <w:lang w:eastAsia="pt-BR"/>
    </w:rPr>
  </w:style>
  <w:style w:type="paragraph" w:styleId="SemEspaamento">
    <w:name w:val="No Spacing"/>
    <w:uiPriority w:val="1"/>
    <w:qFormat/>
    <w:rsid w:val="003B77C7"/>
    <w:rPr>
      <w:rFonts w:ascii="Times New Roman" w:eastAsia="Times New Roman" w:hAnsi="Times New Roman"/>
      <w:sz w:val="24"/>
      <w:szCs w:val="24"/>
    </w:rPr>
  </w:style>
  <w:style w:type="paragraph" w:styleId="PargrafodaLista">
    <w:name w:val="List Paragraph"/>
    <w:basedOn w:val="Normal"/>
    <w:uiPriority w:val="34"/>
    <w:qFormat/>
    <w:rsid w:val="003B77C7"/>
    <w:pPr>
      <w:ind w:left="720"/>
      <w:contextualSpacing/>
    </w:pPr>
    <w:rPr>
      <w:rFonts w:eastAsia="Times New Roman"/>
    </w:rPr>
  </w:style>
  <w:style w:type="paragraph" w:customStyle="1" w:styleId="tab">
    <w:name w:val="tab"/>
    <w:basedOn w:val="Normal"/>
    <w:autoRedefine/>
    <w:rsid w:val="00670704"/>
    <w:pPr>
      <w:tabs>
        <w:tab w:val="left" w:pos="567"/>
      </w:tabs>
      <w:suppressAutoHyphens/>
      <w:spacing w:after="120"/>
    </w:pPr>
    <w:rPr>
      <w:rFonts w:eastAsia="Times New Roman"/>
      <w:lang w:eastAsia="ar-SA"/>
    </w:rPr>
  </w:style>
  <w:style w:type="paragraph" w:customStyle="1" w:styleId="Default">
    <w:name w:val="Default"/>
    <w:rsid w:val="00FE5874"/>
    <w:pPr>
      <w:autoSpaceDE w:val="0"/>
      <w:autoSpaceDN w:val="0"/>
      <w:adjustRightInd w:val="0"/>
      <w:spacing w:before="240" w:after="60" w:line="276"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E5874"/>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FE5874"/>
    <w:rPr>
      <w:rFonts w:ascii="Tahoma" w:hAnsi="Tahoma" w:cs="Tahoma"/>
      <w:sz w:val="16"/>
      <w:szCs w:val="16"/>
      <w:lang w:eastAsia="en-US"/>
    </w:rPr>
  </w:style>
  <w:style w:type="paragraph" w:customStyle="1" w:styleId="SectionHeader">
    <w:name w:val="Section Header"/>
    <w:next w:val="SectionBody"/>
    <w:rsid w:val="005517DD"/>
    <w:pPr>
      <w:keepLines/>
      <w:numPr>
        <w:numId w:val="7"/>
      </w:numPr>
      <w:tabs>
        <w:tab w:val="left" w:pos="284"/>
      </w:tabs>
      <w:outlineLvl w:val="0"/>
    </w:pPr>
    <w:rPr>
      <w:rFonts w:ascii="Times New Roman" w:eastAsia="Times New Roman" w:hAnsi="Times New Roman"/>
      <w:b/>
      <w:caps/>
      <w:noProof/>
      <w:lang w:val="en-US"/>
    </w:rPr>
  </w:style>
  <w:style w:type="paragraph" w:customStyle="1" w:styleId="SectionBody">
    <w:name w:val="Section Body"/>
    <w:rsid w:val="005517DD"/>
    <w:pPr>
      <w:ind w:firstLine="340"/>
      <w:jc w:val="both"/>
    </w:pPr>
    <w:rPr>
      <w:rFonts w:ascii="Times New Roman" w:eastAsia="Times New Roman" w:hAnsi="Times New Roman"/>
      <w:lang w:val="en-US"/>
    </w:rPr>
  </w:style>
  <w:style w:type="paragraph" w:customStyle="1" w:styleId="Sectionsubheader">
    <w:name w:val="Section sub header"/>
    <w:basedOn w:val="SectionHeader"/>
    <w:next w:val="SectionBody"/>
    <w:qFormat/>
    <w:rsid w:val="005517DD"/>
    <w:pPr>
      <w:numPr>
        <w:ilvl w:val="1"/>
      </w:numPr>
      <w:tabs>
        <w:tab w:val="clear" w:pos="284"/>
      </w:tabs>
      <w:ind w:left="340" w:hanging="340"/>
      <w:outlineLvl w:val="1"/>
    </w:pPr>
    <w:rPr>
      <w:caps w:val="0"/>
    </w:rPr>
  </w:style>
  <w:style w:type="paragraph" w:styleId="Cabealho">
    <w:name w:val="header"/>
    <w:basedOn w:val="Normal"/>
    <w:link w:val="CabealhoChar"/>
    <w:uiPriority w:val="99"/>
    <w:unhideWhenUsed/>
    <w:rsid w:val="001125C8"/>
    <w:pPr>
      <w:tabs>
        <w:tab w:val="center" w:pos="4252"/>
        <w:tab w:val="right" w:pos="8504"/>
      </w:tabs>
    </w:pPr>
  </w:style>
  <w:style w:type="character" w:customStyle="1" w:styleId="CabealhoChar">
    <w:name w:val="Cabeçalho Char"/>
    <w:link w:val="Cabealho"/>
    <w:uiPriority w:val="99"/>
    <w:rsid w:val="001125C8"/>
    <w:rPr>
      <w:rFonts w:ascii="Arial" w:hAnsi="Arial"/>
      <w:sz w:val="24"/>
      <w:szCs w:val="22"/>
      <w:lang w:eastAsia="en-US"/>
    </w:rPr>
  </w:style>
  <w:style w:type="paragraph" w:styleId="Rodap">
    <w:name w:val="footer"/>
    <w:basedOn w:val="Normal"/>
    <w:link w:val="RodapChar"/>
    <w:uiPriority w:val="99"/>
    <w:unhideWhenUsed/>
    <w:rsid w:val="001125C8"/>
    <w:pPr>
      <w:tabs>
        <w:tab w:val="center" w:pos="4252"/>
        <w:tab w:val="right" w:pos="8504"/>
      </w:tabs>
    </w:pPr>
  </w:style>
  <w:style w:type="character" w:customStyle="1" w:styleId="RodapChar">
    <w:name w:val="Rodapé Char"/>
    <w:link w:val="Rodap"/>
    <w:uiPriority w:val="99"/>
    <w:rsid w:val="001125C8"/>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2098</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cp:lastModifiedBy>Rafael</cp:lastModifiedBy>
  <cp:revision>4</cp:revision>
  <cp:lastPrinted>2017-08-21T12:13:00Z</cp:lastPrinted>
  <dcterms:created xsi:type="dcterms:W3CDTF">2018-07-09T12:18:00Z</dcterms:created>
  <dcterms:modified xsi:type="dcterms:W3CDTF">2018-07-09T14:06:00Z</dcterms:modified>
</cp:coreProperties>
</file>